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04CC" w:rsidRPr="001B04CC" w:rsidRDefault="001B04CC" w:rsidP="001B04CC">
      <w:pPr>
        <w:spacing w:after="160" w:line="259" w:lineRule="auto"/>
        <w:jc w:val="center"/>
      </w:pPr>
      <w:r w:rsidRPr="001B04C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Име на интервенция: </w:t>
      </w:r>
      <w:r w:rsidRPr="00A77C1C">
        <w:rPr>
          <w:rFonts w:ascii="Times New Roman" w:hAnsi="Times New Roman" w:cs="Times New Roman"/>
          <w:b/>
          <w:sz w:val="20"/>
          <w:szCs w:val="20"/>
        </w:rPr>
        <w:t>СХЕМИ ЗА КЛИМА</w:t>
      </w:r>
      <w:r>
        <w:rPr>
          <w:rFonts w:ascii="Times New Roman" w:hAnsi="Times New Roman" w:cs="Times New Roman"/>
          <w:b/>
          <w:sz w:val="20"/>
          <w:szCs w:val="20"/>
        </w:rPr>
        <w:t>ТА И ОКОЛНАТА СРЕДА (ЕКО СХЕМИ)</w:t>
      </w:r>
    </w:p>
    <w:tbl>
      <w:tblPr>
        <w:tblStyle w:val="TableGrid"/>
        <w:tblW w:w="14884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01"/>
        <w:gridCol w:w="7348"/>
        <w:gridCol w:w="1275"/>
        <w:gridCol w:w="4560"/>
      </w:tblGrid>
      <w:tr w:rsidR="001B04CC" w:rsidRPr="00E9041A" w:rsidTr="001B04CC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t>Организация/</w:t>
            </w:r>
          </w:p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t>подател</w:t>
            </w:r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t>Бележки и предложения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t>Приема се/ не се приема</w:t>
            </w:r>
          </w:p>
        </w:tc>
        <w:tc>
          <w:tcPr>
            <w:tcW w:w="4560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9041A">
              <w:rPr>
                <w:rFonts w:ascii="Times New Roman" w:hAnsi="Times New Roman" w:cs="Times New Roman"/>
                <w:b/>
                <w:bCs/>
              </w:rPr>
              <w:t>Мотиви</w:t>
            </w:r>
          </w:p>
        </w:tc>
      </w:tr>
      <w:tr w:rsidR="001B04CC" w:rsidRPr="00E9041A" w:rsidTr="00E9041A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t xml:space="preserve">Национална асоциация на </w:t>
            </w:r>
            <w:proofErr w:type="spellStart"/>
            <w:r w:rsidRPr="00E9041A">
              <w:rPr>
                <w:rFonts w:ascii="Times New Roman" w:hAnsi="Times New Roman" w:cs="Times New Roman"/>
                <w:b/>
              </w:rPr>
              <w:t>зърнопроизводителите</w:t>
            </w:r>
            <w:proofErr w:type="spellEnd"/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tabs>
                <w:tab w:val="left" w:pos="270"/>
              </w:tabs>
              <w:jc w:val="both"/>
              <w:rPr>
                <w:rFonts w:ascii="Times New Roman" w:eastAsia="Calibri" w:hAnsi="Times New Roman" w:cs="Times New Roman"/>
                <w:lang w:eastAsia="bg-BG"/>
              </w:rPr>
            </w:pPr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В нито една от така предложените земеделски практики, които са полезни за климата и околната среда, не са обхванати основни за страната ни многогодишни ароматни и медицински растения. Страната ни се отличава с изключително разнообразие на почвено-климатични и социално-икономически фактори, което позволява култивирането на голям брой ароматни и медицински растения. При отглеждане на растенията в райони, които отговарят на изискванията на всеки вид, се получават висококачествени билки, етерични масла и екстракти, като същевременно се поддържат балансирани екосистеми и се опазват почвените, водните и енергийните ресурси. В допълнение, ароматните и медицински растения и билки допринасят за подобряване на ландшафта, като се поддържа биологичното разнообразие и се опазват естествените местообитания. Друг определящ фактор за тяхната висока </w:t>
            </w:r>
            <w:proofErr w:type="spellStart"/>
            <w:r w:rsidRPr="00E9041A">
              <w:rPr>
                <w:rFonts w:ascii="Times New Roman" w:eastAsia="Calibri" w:hAnsi="Times New Roman" w:cs="Times New Roman"/>
                <w:lang w:eastAsia="bg-BG"/>
              </w:rPr>
              <w:t>екологичност</w:t>
            </w:r>
            <w:proofErr w:type="spellEnd"/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 е фактът, че ароматните и медицински растения са сред най-медоносните култури и поощряването на отглеждането им, ще увеличи възможностите за </w:t>
            </w:r>
            <w:proofErr w:type="spellStart"/>
            <w:r w:rsidRPr="00E9041A">
              <w:rPr>
                <w:rFonts w:ascii="Times New Roman" w:eastAsia="Calibri" w:hAnsi="Times New Roman" w:cs="Times New Roman"/>
                <w:lang w:eastAsia="bg-BG"/>
              </w:rPr>
              <w:t>паша</w:t>
            </w:r>
            <w:proofErr w:type="spellEnd"/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 при пчелите. В тази връзка, НАЗ предлага за постигане на целите на диверсификацията на културите в земеделските стопанства да бъдат включени като „допустими култури“ и традиционните за страната ни многогодишни растения като: лавандула, </w:t>
            </w:r>
            <w:proofErr w:type="spellStart"/>
            <w:r w:rsidRPr="00E9041A">
              <w:rPr>
                <w:rFonts w:ascii="Times New Roman" w:eastAsia="Calibri" w:hAnsi="Times New Roman" w:cs="Times New Roman"/>
                <w:lang w:eastAsia="bg-BG"/>
              </w:rPr>
              <w:t>резене</w:t>
            </w:r>
            <w:proofErr w:type="spellEnd"/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, мента, риган, маточина, валериана, жълт кантарион, чубрица, </w:t>
            </w:r>
            <w:proofErr w:type="spellStart"/>
            <w:r w:rsidRPr="00E9041A">
              <w:rPr>
                <w:rFonts w:ascii="Times New Roman" w:eastAsia="Calibri" w:hAnsi="Times New Roman" w:cs="Times New Roman"/>
                <w:lang w:eastAsia="bg-BG"/>
              </w:rPr>
              <w:t>салвия</w:t>
            </w:r>
            <w:proofErr w:type="spellEnd"/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, </w:t>
            </w:r>
            <w:proofErr w:type="spellStart"/>
            <w:r w:rsidRPr="00E9041A">
              <w:rPr>
                <w:rFonts w:ascii="Times New Roman" w:eastAsia="Calibri" w:hAnsi="Times New Roman" w:cs="Times New Roman"/>
                <w:lang w:eastAsia="bg-BG"/>
              </w:rPr>
              <w:t>хизоп</w:t>
            </w:r>
            <w:proofErr w:type="spellEnd"/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 и др. </w:t>
            </w:r>
          </w:p>
          <w:p w:rsidR="001B04CC" w:rsidRPr="00E9041A" w:rsidRDefault="001B04CC" w:rsidP="001B04CC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rPr>
                <w:rFonts w:ascii="Times New Roman" w:hAnsi="Times New Roman" w:cs="Times New Roman"/>
                <w:b/>
              </w:rPr>
            </w:pPr>
            <w:r w:rsidRPr="00C71A66">
              <w:rPr>
                <w:rFonts w:ascii="Times New Roman" w:hAnsi="Times New Roman" w:cs="Times New Roman"/>
                <w:b/>
              </w:rPr>
              <w:t>Приема се</w:t>
            </w:r>
            <w:r w:rsidRPr="00E9041A"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4560" w:type="dxa"/>
            <w:shd w:val="clear" w:color="auto" w:fill="FFFFFF" w:themeFill="background1"/>
          </w:tcPr>
          <w:p w:rsidR="00C71A66" w:rsidRPr="00C71A66" w:rsidRDefault="00C71A66" w:rsidP="00C71A66">
            <w:pPr>
              <w:jc w:val="both"/>
              <w:rPr>
                <w:rFonts w:ascii="Times New Roman" w:eastAsia="Calibri" w:hAnsi="Times New Roman" w:cs="Times New Roman"/>
                <w:lang w:eastAsia="bg-BG"/>
              </w:rPr>
            </w:pPr>
            <w:r w:rsidRPr="00C71A66">
              <w:rPr>
                <w:rFonts w:ascii="Times New Roman" w:eastAsia="Calibri" w:hAnsi="Times New Roman" w:cs="Times New Roman"/>
                <w:lang w:eastAsia="bg-BG"/>
              </w:rPr>
              <w:t>Предложението е отразено в интервенцията за Еко схема за засилена диверсификация на културите, поддържане на трайните насаждения и екстензивно поддържане на постоянно затревените площи с пасищни животни</w:t>
            </w:r>
            <w:r>
              <w:rPr>
                <w:rFonts w:ascii="Times New Roman" w:eastAsia="Calibri" w:hAnsi="Times New Roman" w:cs="Times New Roman"/>
                <w:lang w:eastAsia="bg-BG"/>
              </w:rPr>
              <w:t>.</w:t>
            </w:r>
          </w:p>
          <w:p w:rsidR="00924DBF" w:rsidRPr="00E9041A" w:rsidRDefault="00924DBF" w:rsidP="00C71A66">
            <w:pPr>
              <w:tabs>
                <w:tab w:val="left" w:pos="270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1B04CC" w:rsidRPr="00E9041A" w:rsidTr="00CC1D5C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t>Национално ловно-рибарско сдружение „Съюз на ловците и риболовците в България“</w:t>
            </w:r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1B04CC" w:rsidRPr="00E9041A" w:rsidRDefault="001B04CC" w:rsidP="00CC1D5C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E9041A">
              <w:rPr>
                <w:rFonts w:ascii="Times New Roman" w:eastAsia="Times New Roman" w:hAnsi="Times New Roman" w:cs="Times New Roman"/>
                <w:bCs/>
              </w:rPr>
              <w:t>Предлагаме условията за допустимост за земеделски стопанства с обработваема земя над 30 ха да се допълнят със следното условие:</w:t>
            </w:r>
          </w:p>
          <w:p w:rsidR="001B04CC" w:rsidRPr="00E9041A" w:rsidRDefault="001B04CC" w:rsidP="001B04CC">
            <w:pPr>
              <w:spacing w:before="1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</w:rPr>
            </w:pPr>
            <w:r w:rsidRPr="00E9041A">
              <w:rPr>
                <w:rFonts w:ascii="Times New Roman" w:eastAsia="Times New Roman" w:hAnsi="Times New Roman" w:cs="Times New Roman"/>
                <w:b/>
                <w:bCs/>
                <w:i/>
              </w:rPr>
              <w:t>Отделните земеделски парцели не са по-големи от 50 ха и в тях има най-малко 3 различни култури от една група, като основната култура не заема повече от 75% от земеделския парцел, а двете основни култури обхващат заедно не повече от 95% от земеделския парцел.</w:t>
            </w:r>
          </w:p>
          <w:p w:rsidR="001B04CC" w:rsidRPr="00E9041A" w:rsidRDefault="001B04CC" w:rsidP="00CC1D5C">
            <w:pPr>
              <w:spacing w:before="120"/>
              <w:jc w:val="both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eastAsia="Times New Roman" w:hAnsi="Times New Roman" w:cs="Times New Roman"/>
                <w:bCs/>
              </w:rPr>
              <w:t xml:space="preserve">Предложеното от нас условие гарантира засилена диверсификация в обработваемите земи на големите земеделски стопанства, които </w:t>
            </w:r>
            <w:r w:rsidRPr="00E9041A">
              <w:rPr>
                <w:rFonts w:ascii="Times New Roman" w:eastAsia="Times New Roman" w:hAnsi="Times New Roman" w:cs="Times New Roman"/>
                <w:bCs/>
              </w:rPr>
              <w:lastRenderedPageBreak/>
              <w:t xml:space="preserve">обработват хиляди хектари земеделска земя. По презумпция земеделието в тези райони е силно интензифицирано и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bCs/>
              </w:rPr>
              <w:t>едроплощно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bCs/>
              </w:rPr>
              <w:t xml:space="preserve">, с големина на земеделските парцели от 100, 200, 300 и повече хектара. С включването на предложеното от нас допълнително условие, ще се постигне равномерно и мозаечно разпределение на културите в земеделските блокове на крупните земеделски производители, където биологичното разнообразие е най-силно засегнато от селското стопанство.  </w:t>
            </w:r>
          </w:p>
        </w:tc>
        <w:tc>
          <w:tcPr>
            <w:tcW w:w="1275" w:type="dxa"/>
            <w:shd w:val="clear" w:color="auto" w:fill="FFFFFF" w:themeFill="background1"/>
          </w:tcPr>
          <w:p w:rsidR="001B04CC" w:rsidRPr="00E9041A" w:rsidRDefault="001B04CC" w:rsidP="00CC1D5C">
            <w:pPr>
              <w:rPr>
                <w:rFonts w:ascii="Times New Roman" w:hAnsi="Times New Roman" w:cs="Times New Roman"/>
                <w:b/>
              </w:rPr>
            </w:pPr>
            <w:r w:rsidRPr="00C71A66">
              <w:rPr>
                <w:rFonts w:ascii="Times New Roman" w:hAnsi="Times New Roman" w:cs="Times New Roman"/>
                <w:b/>
              </w:rPr>
              <w:lastRenderedPageBreak/>
              <w:t>Не се приема</w:t>
            </w:r>
          </w:p>
        </w:tc>
        <w:tc>
          <w:tcPr>
            <w:tcW w:w="4560" w:type="dxa"/>
            <w:shd w:val="clear" w:color="auto" w:fill="FFFFFF" w:themeFill="background1"/>
          </w:tcPr>
          <w:p w:rsidR="001B04CC" w:rsidRPr="00E9041A" w:rsidRDefault="00E9041A" w:rsidP="00CC1D5C">
            <w:pPr>
              <w:pStyle w:val="CM1"/>
              <w:jc w:val="both"/>
              <w:rPr>
                <w:sz w:val="22"/>
                <w:szCs w:val="22"/>
              </w:rPr>
            </w:pPr>
            <w:r w:rsidRPr="00E9041A">
              <w:rPr>
                <w:sz w:val="22"/>
                <w:szCs w:val="22"/>
              </w:rPr>
              <w:t xml:space="preserve">Земеделската практика за диверсификация на културите се прилага на ниво земеделско стопанство и не може да се ограничи до парцел. </w:t>
            </w:r>
            <w:r>
              <w:rPr>
                <w:sz w:val="22"/>
                <w:szCs w:val="22"/>
              </w:rPr>
              <w:t>Съгласно ЗПЗП се п</w:t>
            </w:r>
            <w:r w:rsidRPr="00E9041A">
              <w:rPr>
                <w:sz w:val="22"/>
                <w:szCs w:val="22"/>
              </w:rPr>
              <w:t xml:space="preserve">рилага дефиницията за земеделски парцел, който е </w:t>
            </w:r>
            <w:r w:rsidRPr="00E9041A">
              <w:rPr>
                <w:color w:val="000000"/>
                <w:sz w:val="22"/>
                <w:szCs w:val="22"/>
              </w:rPr>
              <w:t xml:space="preserve">непрекъсната част от земя, предмет на деклариране от даден земеделски стопанин, която не включва повече от една група култури. </w:t>
            </w:r>
            <w:r>
              <w:rPr>
                <w:color w:val="000000"/>
                <w:sz w:val="22"/>
                <w:szCs w:val="22"/>
              </w:rPr>
              <w:t xml:space="preserve">В тази връзка не е допустимо </w:t>
            </w:r>
            <w:r>
              <w:rPr>
                <w:color w:val="000000"/>
                <w:sz w:val="22"/>
                <w:szCs w:val="22"/>
              </w:rPr>
              <w:lastRenderedPageBreak/>
              <w:t>разбиването на парцела на заетост с няколко култури.</w:t>
            </w:r>
          </w:p>
        </w:tc>
      </w:tr>
      <w:tr w:rsidR="001B04CC" w:rsidRPr="00E9041A" w:rsidTr="00CC1D5C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lastRenderedPageBreak/>
              <w:t xml:space="preserve">Българска асоциация на </w:t>
            </w:r>
            <w:proofErr w:type="spellStart"/>
            <w:r w:rsidRPr="00E9041A">
              <w:rPr>
                <w:rFonts w:ascii="Times New Roman" w:hAnsi="Times New Roman" w:cs="Times New Roman"/>
                <w:b/>
              </w:rPr>
              <w:t>малинопроизводителите</w:t>
            </w:r>
            <w:proofErr w:type="spellEnd"/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CF3060" w:rsidRPr="00E9041A" w:rsidRDefault="00CF3060" w:rsidP="00CF3060">
            <w:pPr>
              <w:tabs>
                <w:tab w:val="left" w:pos="270"/>
              </w:tabs>
              <w:jc w:val="both"/>
              <w:rPr>
                <w:rFonts w:ascii="Times New Roman" w:eastAsia="Calibri" w:hAnsi="Times New Roman" w:cs="Times New Roman"/>
                <w:lang w:eastAsia="bg-BG"/>
              </w:rPr>
            </w:pPr>
            <w:r w:rsidRPr="00E9041A">
              <w:rPr>
                <w:rFonts w:ascii="Times New Roman" w:eastAsia="Calibri" w:hAnsi="Times New Roman" w:cs="Times New Roman"/>
                <w:lang w:eastAsia="bg-BG"/>
              </w:rPr>
              <w:t xml:space="preserve">Поради големия обем информация, материалите са прикачени: </w:t>
            </w:r>
          </w:p>
          <w:p w:rsidR="001B04CC" w:rsidRPr="00E9041A" w:rsidRDefault="004C30B1" w:rsidP="001B04CC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lang w:eastAsia="bg-BG"/>
              </w:rPr>
              <w:object w:dxaOrig="2040" w:dyaOrig="13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.05pt;height:67.25pt" o:ole="">
                  <v:imagedata r:id="rId7" o:title=""/>
                </v:shape>
                <o:OLEObject Type="Embed" ProgID="Word.Document.12" ShapeID="_x0000_i1025" DrawAspect="Icon" ObjectID="_1673870191" r:id="rId8">
                  <o:FieldCodes>\s</o:FieldCodes>
                </o:OLEObject>
              </w:object>
            </w:r>
            <w:r w:rsidR="00CF3060" w:rsidRPr="00E9041A">
              <w:rPr>
                <w:rFonts w:ascii="Times New Roman" w:eastAsia="Calibri" w:hAnsi="Times New Roman" w:cs="Times New Roman"/>
                <w:lang w:eastAsia="bg-BG"/>
              </w:rPr>
              <w:object w:dxaOrig="1531" w:dyaOrig="1002">
                <v:shape id="_x0000_i1026" type="#_x0000_t75" style="width:76.75pt;height:50.65pt" o:ole="">
                  <v:imagedata r:id="rId9" o:title=""/>
                </v:shape>
                <o:OLEObject Type="Embed" ProgID="AcroExch.Document.DC" ShapeID="_x0000_i1026" DrawAspect="Icon" ObjectID="_1673870192" r:id="rId10"/>
              </w:object>
            </w:r>
            <w:r w:rsidR="00CF3060" w:rsidRPr="00E9041A">
              <w:rPr>
                <w:rFonts w:ascii="Times New Roman" w:eastAsia="Calibri" w:hAnsi="Times New Roman" w:cs="Times New Roman"/>
                <w:lang w:eastAsia="bg-BG"/>
              </w:rPr>
              <w:object w:dxaOrig="1531" w:dyaOrig="1002">
                <v:shape id="_x0000_i1027" type="#_x0000_t75" style="width:76.75pt;height:50.65pt" o:ole="">
                  <v:imagedata r:id="rId9" o:title=""/>
                </v:shape>
                <o:OLEObject Type="Embed" ProgID="AcroExch.Document.DC" ShapeID="_x0000_i1027" DrawAspect="Icon" ObjectID="_1673870193" r:id="rId11"/>
              </w:object>
            </w:r>
          </w:p>
        </w:tc>
        <w:tc>
          <w:tcPr>
            <w:tcW w:w="1275" w:type="dxa"/>
            <w:shd w:val="clear" w:color="auto" w:fill="FFFFFF" w:themeFill="background1"/>
          </w:tcPr>
          <w:p w:rsidR="001B04CC" w:rsidRPr="00E9041A" w:rsidRDefault="00216FF2" w:rsidP="00CC1D5C">
            <w:pPr>
              <w:rPr>
                <w:rFonts w:ascii="Times New Roman" w:hAnsi="Times New Roman" w:cs="Times New Roman"/>
                <w:b/>
              </w:rPr>
            </w:pPr>
            <w:r w:rsidRPr="00CC1D5C">
              <w:rPr>
                <w:rFonts w:ascii="Times New Roman" w:hAnsi="Times New Roman" w:cs="Times New Roman"/>
                <w:b/>
              </w:rPr>
              <w:t>Приема се частично</w:t>
            </w:r>
          </w:p>
        </w:tc>
        <w:tc>
          <w:tcPr>
            <w:tcW w:w="4560" w:type="dxa"/>
            <w:shd w:val="clear" w:color="auto" w:fill="FFFFFF" w:themeFill="background1"/>
          </w:tcPr>
          <w:p w:rsidR="00077664" w:rsidRPr="00077664" w:rsidRDefault="00077664" w:rsidP="00077664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077664">
              <w:rPr>
                <w:rFonts w:ascii="Times New Roman" w:hAnsi="Times New Roman" w:cs="Times New Roman"/>
                <w:bCs/>
              </w:rPr>
              <w:t xml:space="preserve">В интервенцията за Еко схема за засилена диверсификация на културите, поддържане на трайните насаждения и екстензивно поддържане на постоянно затревените площи с пасищни животни е включена практиката за раздробяване и оставяне на вегетативна маса (клони и лозови </w:t>
            </w:r>
            <w:proofErr w:type="spellStart"/>
            <w:r w:rsidRPr="00077664">
              <w:rPr>
                <w:rFonts w:ascii="Times New Roman" w:hAnsi="Times New Roman" w:cs="Times New Roman"/>
                <w:bCs/>
              </w:rPr>
              <w:t>леторасти</w:t>
            </w:r>
            <w:proofErr w:type="spellEnd"/>
            <w:r w:rsidRPr="00077664">
              <w:rPr>
                <w:rFonts w:ascii="Times New Roman" w:hAnsi="Times New Roman" w:cs="Times New Roman"/>
                <w:bCs/>
              </w:rPr>
              <w:t>) при резитба. Целта е  подобряване на физичните свойства на почвата и защита от водна и ветрова ерозия и създаване на възможност за намаляване на водния дефицит.</w:t>
            </w:r>
          </w:p>
          <w:p w:rsidR="001B04CC" w:rsidRPr="00E9041A" w:rsidRDefault="001B04CC" w:rsidP="00CC1D5C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1B04CC" w:rsidRPr="00E9041A" w:rsidTr="00CC1D5C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CF3060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E9041A">
              <w:rPr>
                <w:rFonts w:ascii="Times New Roman" w:hAnsi="Times New Roman" w:cs="Times New Roman"/>
                <w:b/>
              </w:rPr>
              <w:t>Илиас</w:t>
            </w:r>
            <w:proofErr w:type="spellEnd"/>
            <w:r w:rsidRPr="00E9041A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E9041A">
              <w:rPr>
                <w:rFonts w:ascii="Times New Roman" w:hAnsi="Times New Roman" w:cs="Times New Roman"/>
                <w:b/>
              </w:rPr>
              <w:t>Сарнук</w:t>
            </w:r>
            <w:proofErr w:type="spellEnd"/>
            <w:r w:rsidRPr="00E9041A">
              <w:rPr>
                <w:rFonts w:ascii="Times New Roman" w:hAnsi="Times New Roman" w:cs="Times New Roman"/>
                <w:b/>
              </w:rPr>
              <w:t>, Национална Асоциация на младите фермери в България</w:t>
            </w:r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CF3060" w:rsidRPr="00E9041A" w:rsidRDefault="00CF3060" w:rsidP="00CF3060">
            <w:pPr>
              <w:spacing w:before="120"/>
              <w:jc w:val="center"/>
              <w:rPr>
                <w:rFonts w:ascii="Times New Roman" w:eastAsia="Calibri" w:hAnsi="Times New Roman" w:cs="Times New Roman"/>
                <w:b/>
                <w:iCs/>
                <w:color w:val="000000"/>
              </w:rPr>
            </w:pPr>
            <w:r w:rsidRPr="00E9041A">
              <w:rPr>
                <w:rFonts w:ascii="Times New Roman" w:eastAsia="Calibri" w:hAnsi="Times New Roman" w:cs="Times New Roman"/>
                <w:b/>
                <w:iCs/>
                <w:color w:val="000000"/>
              </w:rPr>
              <w:t>Съвременни зелени технологии при овощните и зеленчуковите култури</w:t>
            </w:r>
          </w:p>
          <w:p w:rsidR="00CF3060" w:rsidRPr="00E9041A" w:rsidRDefault="00CF3060" w:rsidP="00CF3060">
            <w:pPr>
              <w:spacing w:before="120"/>
              <w:jc w:val="center"/>
              <w:rPr>
                <w:rFonts w:ascii="Times New Roman" w:eastAsia="Calibri" w:hAnsi="Times New Roman" w:cs="Times New Roman"/>
                <w:b/>
                <w:iCs/>
                <w:color w:val="000000"/>
              </w:rPr>
            </w:pP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Наред с нарастващите продоволствени нужди на населението, природните ресурси остават ограничени. Необходимо е насърчаване на иновации, нови технологии и практики, които допринасят за задоволяване на увеличаващо се търсене на храни и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възобновяеми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суровини по начин, щадящ и съхраняващ околната среда.</w:t>
            </w:r>
            <w:r w:rsidRPr="00E9041A">
              <w:rPr>
                <w:rFonts w:ascii="Times New Roman" w:eastAsia="Calibri" w:hAnsi="Times New Roman" w:cs="Times New Roman"/>
              </w:rPr>
              <w:t xml:space="preserve"> Те предотвратяват неблагоприятни влияния върху водоизточниците, почвата, биологичното разнообразие или други природни ресурси в сравнение с конвенционалното овощарство и зеленчукопроизводство.</w:t>
            </w:r>
          </w:p>
          <w:p w:rsidR="00CF3060" w:rsidRPr="00E9041A" w:rsidRDefault="00CF3060" w:rsidP="00CF3060">
            <w:pPr>
              <w:numPr>
                <w:ilvl w:val="0"/>
                <w:numId w:val="3"/>
              </w:numPr>
              <w:spacing w:before="120"/>
              <w:ind w:left="0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>Зелена технология за използване на слънчевата енергия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proofErr w:type="spellStart"/>
            <w:r w:rsidRPr="00E9041A">
              <w:rPr>
                <w:rFonts w:ascii="Times New Roman" w:eastAsia="Calibri" w:hAnsi="Times New Roman" w:cs="Times New Roman"/>
              </w:rPr>
              <w:lastRenderedPageBreak/>
              <w:t>Фотоволтаичните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системи могат да осигуряват електричество за осветление (напр. в оранжерийното производство), изпомпване на вода от водохранилища и работа на малки двигатели. Използването на слънчевата енергия за изпомпване на вода има редица предимства и решава редица проблеми за разлика от използването на конвенционално гориво, например, тя не изисква съществени разходи за гориво и поддръжка, не замърсява околната среда и др.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Не намира приложение, защото в някои случаи дори се налага засенчване с мрежи.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>2. Зелена технология за използване на геотермална вода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Геотермалната технология използва воден ресурс от земната кора, за да генерира топлина или електричество. Получената топлинна енергия може да се преобразува в електричество или да се използва директно в отоплителни съоръжения. Геотермалните води може да се използват за отопление при отглеждане на зеленчуци в оранжерии. Геотермалната технология успешно може да се използва за биологично производство на зеленчуци.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Не намира приложение.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>3. Зелена технология за използване на биогаз и органични торове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Тази зелена технология използва биологични селскостопански отпадъци и ги трансформира в гориво и тор.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Биогазът е добре известен и надежден източник на енергия от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възобновяеми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суровини, който може да се използва за осветление и поддържане на подходящ температурен режим в оранжерии. Продуктите, които се получават в резултат от процеса на минерализация се използват като алтернатива на химическите торове и са подходящи за органично </w:t>
            </w:r>
            <w:r w:rsidRPr="00E9041A">
              <w:rPr>
                <w:rFonts w:ascii="Times New Roman" w:eastAsia="Calibri" w:hAnsi="Times New Roman" w:cs="Times New Roman"/>
              </w:rPr>
              <w:lastRenderedPageBreak/>
              <w:t>зеленчукопроизводство.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Растителните остатъци получени след резитба на дърветата могат да се надробяват, подлагат на минерализация и да се използват като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биоторове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>. С това се повишава почвеното плодородие и се подобрява структурата на почвата.</w:t>
            </w:r>
          </w:p>
          <w:p w:rsidR="00CF3060" w:rsidRPr="00E9041A" w:rsidRDefault="00CF3060" w:rsidP="00CF3060">
            <w:pPr>
              <w:tabs>
                <w:tab w:val="left" w:pos="4452"/>
              </w:tabs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>4. Зелена технология за използване на вятърната енергия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Биологичното земеделие може да внедри технологии за използване енергията от вятъра.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tabs>
                <w:tab w:val="left" w:pos="4452"/>
              </w:tabs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С малки вятърни конструкции може да се осигури механично изпомпване и обезпечаване на зеленчуковите насаждения с вода. Тези конструкции намаляват по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екологосъобразен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начин парниковите газове, чрез технологии за производство на енергия, която да се използва за производството на зеленчуци.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С вятърни конструкции може да се осигури механично изпомпване и обезпечаване на овощните насаждения с вода, но само ако се касае за големи масиви, за да е рентабилно капиталовложението.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Times New Roman" w:hAnsi="Times New Roman" w:cs="Times New Roman"/>
                <w:b/>
                <w:lang w:eastAsia="bg-BG"/>
              </w:rPr>
            </w:pPr>
            <w:r w:rsidRPr="00E9041A">
              <w:rPr>
                <w:rFonts w:ascii="Times New Roman" w:eastAsia="Times New Roman" w:hAnsi="Times New Roman" w:cs="Times New Roman"/>
                <w:b/>
                <w:lang w:eastAsia="bg-BG"/>
              </w:rPr>
              <w:t xml:space="preserve">5. Зелена технология </w:t>
            </w:r>
            <w:r w:rsidRPr="00E9041A">
              <w:rPr>
                <w:rFonts w:ascii="Times New Roman" w:eastAsia="Calibri" w:hAnsi="Times New Roman" w:cs="Times New Roman"/>
                <w:b/>
              </w:rPr>
              <w:t xml:space="preserve">използвана </w:t>
            </w:r>
            <w:r w:rsidRPr="00E9041A">
              <w:rPr>
                <w:rFonts w:ascii="Times New Roman" w:eastAsia="Times New Roman" w:hAnsi="Times New Roman" w:cs="Times New Roman"/>
                <w:b/>
                <w:lang w:eastAsia="bg-BG"/>
              </w:rPr>
              <w:t xml:space="preserve">в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b/>
                <w:lang w:eastAsia="bg-BG"/>
              </w:rPr>
              <w:t>биорафинерии</w:t>
            </w:r>
            <w:proofErr w:type="spellEnd"/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Биорафинериите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включват технологии, при които се използва биомаса като ресурс за извличане на енергия и други полезни продукти. Една от най-важните дейности, извършени в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биорафинериите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, е преработката на царевица в различни продукти като царевичен сироп и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етанол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, както и преработката на дървесината в дървесинни продукти, топлина и електричество.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Биорафинериите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използват изцяло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възобновяеми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органични селскостопански продукти, за получаването на редица полезни суровини като гориво,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високопротеинови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фуражи,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глутен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и електричество. Те също така играят важна роля за намаляване на емисиите на парникови газове в транспорта.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lastRenderedPageBreak/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Използване на растителни отпадъци за рафинериите и връщането на техни продукти като гориво, електричество в отрасъла.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Използване на дървесни отпадъци за рафинериите и връщането на техни продукти като гориво, електричество в отрасъла.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Times New Roman" w:hAnsi="Times New Roman" w:cs="Times New Roman"/>
                <w:b/>
                <w:lang w:eastAsia="bg-BG"/>
              </w:rPr>
            </w:pPr>
            <w:r w:rsidRPr="00E9041A">
              <w:rPr>
                <w:rFonts w:ascii="Times New Roman" w:eastAsia="Times New Roman" w:hAnsi="Times New Roman" w:cs="Times New Roman"/>
                <w:b/>
                <w:lang w:eastAsia="bg-BG"/>
              </w:rPr>
              <w:t>7. Зелена технология за информация и комуникация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Основни аспекти на тази технология е подобряване на управлението на производствените процеси, следене на здравното състояние на растенията, хомогенизиране на качеството на продукцията, намаляване на трудоемкостта, а също така и редуциране на загубите. Това е възможно да се осъществи с разработването на софтуер, който може да интерпретира данни от сензори,. Те могат да бъдат постоянни или мобилни ( чрез използване на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дронове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).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В оранжерийното зеленчукопроизводство чрез използване на постоянни сензори, а при полското производство чрез мобилни сензори 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Също могат се използват както постоянни, така и мобилни сензори в зависимост от условията на отглеждане ( компактност, отдалеченост и др.).</w:t>
            </w:r>
          </w:p>
          <w:p w:rsidR="00CF3060" w:rsidRPr="00E9041A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 xml:space="preserve">8. Зелена технология за </w:t>
            </w:r>
            <w:proofErr w:type="spellStart"/>
            <w:r w:rsidRPr="00E9041A">
              <w:rPr>
                <w:rFonts w:ascii="Times New Roman" w:eastAsia="Calibri" w:hAnsi="Times New Roman" w:cs="Times New Roman"/>
                <w:b/>
              </w:rPr>
              <w:t>поликултурно</w:t>
            </w:r>
            <w:proofErr w:type="spellEnd"/>
            <w:r w:rsidRPr="00E9041A">
              <w:rPr>
                <w:rFonts w:ascii="Times New Roman" w:eastAsia="Calibri" w:hAnsi="Times New Roman" w:cs="Times New Roman"/>
                <w:b/>
              </w:rPr>
              <w:t>, междуредово отглеждане, зелено торене (</w:t>
            </w:r>
            <w:proofErr w:type="spellStart"/>
            <w:r w:rsidRPr="00E9041A">
              <w:rPr>
                <w:rFonts w:ascii="Times New Roman" w:eastAsia="Calibri" w:hAnsi="Times New Roman" w:cs="Times New Roman"/>
                <w:b/>
              </w:rPr>
              <w:t>сидерация</w:t>
            </w:r>
            <w:proofErr w:type="spellEnd"/>
            <w:r w:rsidRPr="00E9041A">
              <w:rPr>
                <w:rFonts w:ascii="Times New Roman" w:eastAsia="Calibri" w:hAnsi="Times New Roman" w:cs="Times New Roman"/>
                <w:b/>
              </w:rPr>
              <w:t xml:space="preserve">) и </w:t>
            </w:r>
            <w:proofErr w:type="spellStart"/>
            <w:r w:rsidRPr="00E9041A">
              <w:rPr>
                <w:rFonts w:ascii="Times New Roman" w:eastAsia="Calibri" w:hAnsi="Times New Roman" w:cs="Times New Roman"/>
                <w:b/>
              </w:rPr>
              <w:t>сеитбообръщение</w:t>
            </w:r>
            <w:proofErr w:type="spellEnd"/>
          </w:p>
          <w:p w:rsidR="00CF3060" w:rsidRPr="00E9041A" w:rsidRDefault="00CF3060" w:rsidP="00CF3060">
            <w:pPr>
              <w:autoSpaceDE w:val="0"/>
              <w:autoSpaceDN w:val="0"/>
              <w:adjustRightInd w:val="0"/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proofErr w:type="spellStart"/>
            <w:r w:rsidRPr="00E9041A">
              <w:rPr>
                <w:rFonts w:ascii="Times New Roman" w:eastAsia="Calibri" w:hAnsi="Times New Roman" w:cs="Times New Roman"/>
              </w:rPr>
              <w:t>Поликултурното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отглеждане на зеленчуци може да се определи като производство на повече от две култури в една и съща земеделска площ през един и същи вегетативен сезон. Междуредовото отглеждане се прилага при овощните, като допълнителните култури се отглеждат в междуредията на овощната градина, в периода на нарастване на дръвчетата. Зеленото торене се състои в отглеждането на подходящи едногодишни култури (в междуредията на овощните градини), които </w:t>
            </w:r>
            <w:r w:rsidRPr="00E9041A">
              <w:rPr>
                <w:rFonts w:ascii="Times New Roman" w:eastAsia="Calibri" w:hAnsi="Times New Roman" w:cs="Times New Roman"/>
              </w:rPr>
              <w:lastRenderedPageBreak/>
              <w:t xml:space="preserve">развиват буйна вегетативна маса, която след заораване и минерализация обогатява почвата с органично вещество. Тази практика ще бъде един от основните начини за смекчаване на неблагоприятните последствия от продължителното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угарене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на почвата и поддържането на по-високо ниво на почвеното плодородие. Процесът на отглеждане на две или повече различни видове култури в една и съща земеделска площ, през различни сезони е известен като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сеитбооборот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.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709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Уплътняване на площите и отглеждане на няколко зеленчукови култури за една календарна година на едно място. Целта е да се избегне намножаване на плевелите, намаляване на почвените обработки за поддържане на площта чиста от плевели и максималното й  използване.</w:t>
            </w:r>
          </w:p>
          <w:p w:rsidR="00CF3060" w:rsidRPr="00E9041A" w:rsidRDefault="00CF3060" w:rsidP="00CF3060">
            <w:p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ab/>
              <w:t>Отглеждане на голямо разнообразие от растителни и зеленчукови видове на единица площ т. нар. земеделие „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agroforestry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”, което има икономическа полза за фермерите и запазване на природните ресурси. Редуване на зеленчукови култури, които нямат общи болести и неприятели. </w:t>
            </w: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Широката употреба на бобовите култури в сеитбообращението предлага важни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агроекологични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предимства, а също и предимства, свързани със смекчаването на изменението на климата. По отношение на изменението на климата, бобовите култури – грах, бакла и фасул, могат значително да намалят емисиите на парникови газове чрез асимилация и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фиксация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на азот в почвата, като по този начин намалят използването на азотни торове с до 100 кг азот на хектар на месец. </w:t>
            </w:r>
            <w:r w:rsidRPr="00E9041A">
              <w:rPr>
                <w:rFonts w:ascii="Times New Roman" w:eastAsia="Calibri" w:hAnsi="Times New Roman" w:cs="Times New Roman"/>
              </w:rPr>
              <w:t xml:space="preserve">Редуциране на почвените обработки и използване на технология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no-till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farming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т. нар. неорно земеделие. Неорното земеделие запазва почвеното плодородие и разнообразието от микроорганизми в почвата. То има значение за намаляване на почвената ерозия. Намаляват се и разходите за гориво, свързани с обработката на почвата.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autoSpaceDE w:val="0"/>
              <w:autoSpaceDN w:val="0"/>
              <w:adjustRightInd w:val="0"/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Засяването на културите за зелено торене в овощарството може да се извърши в три срока:</w:t>
            </w:r>
          </w:p>
          <w:p w:rsidR="00CF3060" w:rsidRPr="00E9041A" w:rsidRDefault="00CF3060" w:rsidP="00CF3060">
            <w:pPr>
              <w:autoSpaceDE w:val="0"/>
              <w:autoSpaceDN w:val="0"/>
              <w:adjustRightInd w:val="0"/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1. Пред зимен посев (октомври-ноември) и заораване през май на </w:t>
            </w:r>
            <w:r w:rsidRPr="00E9041A">
              <w:rPr>
                <w:rFonts w:ascii="Times New Roman" w:eastAsia="Calibri" w:hAnsi="Times New Roman" w:cs="Times New Roman"/>
              </w:rPr>
              <w:lastRenderedPageBreak/>
              <w:t xml:space="preserve">следващата година. Този срок е приложим само за зимуващите при нашите условия култури - ръж,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репко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>, зимен фуражен грах. Приложим е и при неполивни условия. Подходящ е като практика, ограничаваща почвената ерозия.</w:t>
            </w:r>
          </w:p>
          <w:p w:rsidR="00CF3060" w:rsidRPr="00E9041A" w:rsidRDefault="00CF3060" w:rsidP="00CF3060">
            <w:pPr>
              <w:autoSpaceDE w:val="0"/>
              <w:autoSpaceDN w:val="0"/>
              <w:adjustRightInd w:val="0"/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2. Летен посев (юли-август), с оглед заораването да се извърши през есента (октомври-ноември). Приложим е само при поливни условия, защото през летните месеци е трудно осъществима добрата подготовка на почвата за засяването, а за развитието на културите също е необходимо напояване. Културите създават затруднение за извършване на механизирани дейности по отглеждането и се отъпкват неизбежно по време на беритбата на плодовете.</w:t>
            </w:r>
          </w:p>
          <w:p w:rsidR="00CF3060" w:rsidRPr="00E9041A" w:rsidRDefault="00CF3060" w:rsidP="00CF3060">
            <w:pPr>
              <w:autoSpaceDE w:val="0"/>
              <w:autoSpaceDN w:val="0"/>
              <w:adjustRightInd w:val="0"/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>3. Ранно пролетно засяване (март-април) и заораване през лятото. Приложим е само за планински и полупланински райони с валежи от порядъка на 800-1000 mm и добре разпределени през пролетно-летния период, които да осигурят влага за добрия растеж на тревите, както и за разлагане на органичното вещество след заораването.</w:t>
            </w:r>
          </w:p>
          <w:p w:rsidR="00CF3060" w:rsidRPr="00CC1D5C" w:rsidRDefault="00CF3060" w:rsidP="00CF3060">
            <w:pPr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 xml:space="preserve">При климатичните условия в нашата страна, реално приложимо е главно есенното засяване и в много ограничени случаи лятното и пролетното. Заораването на отглежданите култури за зелено торене трябва да се извърши когато са развили буйна вегетативна маса, но преди да са </w:t>
            </w:r>
            <w:proofErr w:type="spellStart"/>
            <w:r w:rsidRPr="00CC1D5C">
              <w:rPr>
                <w:rFonts w:ascii="Times New Roman" w:eastAsia="Calibri" w:hAnsi="Times New Roman" w:cs="Times New Roman"/>
              </w:rPr>
              <w:t>вдървесинели</w:t>
            </w:r>
            <w:proofErr w:type="spellEnd"/>
            <w:r w:rsidRPr="00CC1D5C">
              <w:rPr>
                <w:rFonts w:ascii="Times New Roman" w:eastAsia="Calibri" w:hAnsi="Times New Roman" w:cs="Times New Roman"/>
              </w:rPr>
              <w:t>.</w:t>
            </w:r>
          </w:p>
          <w:p w:rsidR="00CF3060" w:rsidRPr="00CC1D5C" w:rsidRDefault="00CF3060" w:rsidP="00CF3060">
            <w:pPr>
              <w:autoSpaceDE w:val="0"/>
              <w:autoSpaceDN w:val="0"/>
              <w:adjustRightInd w:val="0"/>
              <w:spacing w:before="120"/>
              <w:ind w:firstLine="567"/>
              <w:jc w:val="both"/>
              <w:rPr>
                <w:rFonts w:ascii="Times New Roman" w:eastAsia="Calibri" w:hAnsi="Times New Roman" w:cs="Times New Roman"/>
                <w:bCs/>
                <w:i/>
              </w:rPr>
            </w:pPr>
            <w:r w:rsidRPr="00CC1D5C">
              <w:rPr>
                <w:rFonts w:ascii="Times New Roman" w:eastAsia="Calibri" w:hAnsi="Times New Roman" w:cs="Times New Roman"/>
                <w:bCs/>
                <w:i/>
              </w:rPr>
              <w:t>Междуредови култури</w:t>
            </w:r>
          </w:p>
          <w:p w:rsidR="00CF3060" w:rsidRPr="00CC1D5C" w:rsidRDefault="00CF3060" w:rsidP="00CF3060">
            <w:pPr>
              <w:spacing w:before="120"/>
              <w:ind w:firstLine="709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За да има ефект от тази практика, междуредовите култури трябва да отговарят на редица изисквания:</w:t>
            </w:r>
          </w:p>
          <w:p w:rsidR="00CF3060" w:rsidRPr="00CC1D5C" w:rsidRDefault="00CF3060" w:rsidP="00CF3060">
            <w:pPr>
              <w:numPr>
                <w:ilvl w:val="0"/>
                <w:numId w:val="2"/>
              </w:num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Да не конкурират дърветата по отношение на вода и хранителни вещества, тоест усиленият им растеж да не съвпада с този на дърветата, който е през пролетта до началото на лятото;</w:t>
            </w:r>
          </w:p>
          <w:p w:rsidR="00CF3060" w:rsidRPr="00CC1D5C" w:rsidRDefault="00CF3060" w:rsidP="00CF3060">
            <w:pPr>
              <w:numPr>
                <w:ilvl w:val="0"/>
                <w:numId w:val="2"/>
              </w:num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Да не затрудняват изпълнението на агротехническите мероприятия, свързани с отглеждане на дърветата;</w:t>
            </w:r>
          </w:p>
          <w:p w:rsidR="00CF3060" w:rsidRPr="00CC1D5C" w:rsidRDefault="00CF3060" w:rsidP="00CF3060">
            <w:pPr>
              <w:numPr>
                <w:ilvl w:val="0"/>
                <w:numId w:val="2"/>
              </w:num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По възможност да подобряват почвеното плодородие;</w:t>
            </w:r>
          </w:p>
          <w:p w:rsidR="00CF3060" w:rsidRPr="00CC1D5C" w:rsidRDefault="00CF3060" w:rsidP="00CF3060">
            <w:pPr>
              <w:numPr>
                <w:ilvl w:val="0"/>
                <w:numId w:val="2"/>
              </w:num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lastRenderedPageBreak/>
              <w:t>Да понасят известно засенчване;</w:t>
            </w:r>
          </w:p>
          <w:p w:rsidR="00CF3060" w:rsidRPr="00CC1D5C" w:rsidRDefault="00CF3060" w:rsidP="00CF3060">
            <w:pPr>
              <w:numPr>
                <w:ilvl w:val="0"/>
                <w:numId w:val="2"/>
              </w:num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Да нямат общи болести и неприятели с овощния вид при който се прилагат.</w:t>
            </w:r>
          </w:p>
          <w:p w:rsidR="00CF3060" w:rsidRPr="00CC1D5C" w:rsidRDefault="00CF3060" w:rsidP="00CF3060">
            <w:pPr>
              <w:spacing w:before="120"/>
              <w:jc w:val="both"/>
              <w:rPr>
                <w:rFonts w:ascii="Times New Roman" w:eastAsia="Calibri" w:hAnsi="Times New Roman" w:cs="Times New Roman"/>
              </w:rPr>
            </w:pPr>
          </w:p>
          <w:p w:rsidR="00CF3060" w:rsidRPr="00CC1D5C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 xml:space="preserve">Подходящи култури за отглеждане в междуредията на овощните градини са: </w:t>
            </w:r>
          </w:p>
          <w:p w:rsidR="00CF3060" w:rsidRPr="00CC1D5C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  <w:i/>
              </w:rPr>
              <w:t>Бобови култури (</w:t>
            </w:r>
            <w:r w:rsidRPr="00CC1D5C">
              <w:rPr>
                <w:rFonts w:ascii="Times New Roman" w:eastAsia="Calibri" w:hAnsi="Times New Roman" w:cs="Times New Roman"/>
              </w:rPr>
              <w:t xml:space="preserve">фасул, грах за зелено, бакла, нахут, соя) се сочат като много подходящи, защото рано освобождават междуредието (особено ако се използват за преработка, като фасул и грах), зелената им маса се заорава и така обогатява почвата с азот и органично вещество. </w:t>
            </w:r>
          </w:p>
          <w:p w:rsidR="00CF3060" w:rsidRPr="00CC1D5C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  <w:i/>
              </w:rPr>
              <w:t xml:space="preserve">Зеленчукови култури (лук, чесън, спанак, салата, репички) </w:t>
            </w:r>
            <w:r w:rsidRPr="00CC1D5C">
              <w:rPr>
                <w:rFonts w:ascii="Times New Roman" w:eastAsia="Calibri" w:hAnsi="Times New Roman" w:cs="Times New Roman"/>
              </w:rPr>
              <w:t xml:space="preserve">са подходящи, защото се развиват през зимния период, когато има достатъчно валежи, а нуждите на дърветата не са големи. В костилковите насаждения не бива да се допуска отглеждане на домати, патладжан и пипер, тъй като те са преносители на </w:t>
            </w:r>
            <w:proofErr w:type="spellStart"/>
            <w:r w:rsidRPr="00CC1D5C">
              <w:rPr>
                <w:rFonts w:ascii="Times New Roman" w:eastAsia="Calibri" w:hAnsi="Times New Roman" w:cs="Times New Roman"/>
              </w:rPr>
              <w:t>вертицилийното</w:t>
            </w:r>
            <w:proofErr w:type="spellEnd"/>
            <w:r w:rsidRPr="00CC1D5C">
              <w:rPr>
                <w:rFonts w:ascii="Times New Roman" w:eastAsia="Calibri" w:hAnsi="Times New Roman" w:cs="Times New Roman"/>
              </w:rPr>
              <w:t xml:space="preserve"> увяхване, което причинява загиване на дърветата.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  <w:i/>
              </w:rPr>
              <w:t xml:space="preserve">Овощни култури – </w:t>
            </w:r>
            <w:r w:rsidRPr="00CC1D5C">
              <w:rPr>
                <w:rFonts w:ascii="Times New Roman" w:eastAsia="Calibri" w:hAnsi="Times New Roman" w:cs="Times New Roman"/>
              </w:rPr>
              <w:t xml:space="preserve">подходяща е ягодата. Тя изисква висок </w:t>
            </w:r>
            <w:proofErr w:type="spellStart"/>
            <w:r w:rsidRPr="00CC1D5C">
              <w:rPr>
                <w:rFonts w:ascii="Times New Roman" w:eastAsia="Calibri" w:hAnsi="Times New Roman" w:cs="Times New Roman"/>
              </w:rPr>
              <w:t>агрофон</w:t>
            </w:r>
            <w:proofErr w:type="spellEnd"/>
            <w:r w:rsidRPr="00CC1D5C">
              <w:rPr>
                <w:rFonts w:ascii="Times New Roman" w:eastAsia="Calibri" w:hAnsi="Times New Roman" w:cs="Times New Roman"/>
              </w:rPr>
              <w:t xml:space="preserve">, което се отразява добре на дръвчетата. В </w:t>
            </w:r>
            <w:proofErr w:type="spellStart"/>
            <w:r w:rsidRPr="00CC1D5C">
              <w:rPr>
                <w:rFonts w:ascii="Times New Roman" w:eastAsia="Calibri" w:hAnsi="Times New Roman" w:cs="Times New Roman"/>
              </w:rPr>
              <w:t>плододаващи</w:t>
            </w:r>
            <w:proofErr w:type="spellEnd"/>
            <w:r w:rsidRPr="00CC1D5C">
              <w:rPr>
                <w:rFonts w:ascii="Times New Roman" w:eastAsia="Calibri" w:hAnsi="Times New Roman" w:cs="Times New Roman"/>
              </w:rPr>
              <w:t xml:space="preserve"> градини е нерентабилно отглеждането и поради намаляване на добивите и качеството на плодовете.</w:t>
            </w:r>
            <w:r w:rsidRPr="00E9041A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В ореховите насаждения като междуредови култури могат да се отглеждат праскови, и вишни.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i/>
              </w:rPr>
            </w:pPr>
            <w:proofErr w:type="spellStart"/>
            <w:r w:rsidRPr="00E9041A">
              <w:rPr>
                <w:rFonts w:ascii="Times New Roman" w:eastAsia="Calibri" w:hAnsi="Times New Roman" w:cs="Times New Roman"/>
                <w:i/>
              </w:rPr>
              <w:t>Сеитбооборот</w:t>
            </w:r>
            <w:proofErr w:type="spellEnd"/>
            <w:r w:rsidRPr="00E9041A">
              <w:rPr>
                <w:rFonts w:ascii="Times New Roman" w:eastAsia="Calibri" w:hAnsi="Times New Roman" w:cs="Times New Roman"/>
                <w:i/>
              </w:rPr>
              <w:t xml:space="preserve">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След изкореняване на овощните градини се прилага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сеитбооборот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>, за да се избегне почвената умора, да се подобри механичния състав на почвата и да се повиши почвеното плодородие. Обикновено се избират житни култури или бобови, които обогатяват почвата с азот.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 xml:space="preserve">9. Зелени технологии при защитата на растенията от вредители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r w:rsidRPr="00E9041A">
              <w:rPr>
                <w:rFonts w:ascii="Times New Roman" w:eastAsia="Times New Roman" w:hAnsi="Times New Roman" w:cs="Times New Roman"/>
                <w:iCs/>
                <w:shd w:val="clear" w:color="auto" w:fill="FFFFFF"/>
                <w:lang w:eastAsia="bg-BG"/>
              </w:rPr>
              <w:t xml:space="preserve">Негативните последствия от интензивната химизация на растителната защита са резултат от игнорирането на саморегулиращите </w:t>
            </w:r>
            <w:r w:rsidRPr="00E9041A">
              <w:rPr>
                <w:rFonts w:ascii="Times New Roman" w:eastAsia="Times New Roman" w:hAnsi="Times New Roman" w:cs="Times New Roman"/>
                <w:iCs/>
                <w:shd w:val="clear" w:color="auto" w:fill="FFFFFF"/>
                <w:lang w:eastAsia="bg-BG"/>
              </w:rPr>
              <w:lastRenderedPageBreak/>
              <w:t>механизми в екосистемите</w:t>
            </w:r>
            <w:r w:rsidRPr="00E9041A">
              <w:rPr>
                <w:rFonts w:ascii="Times New Roman" w:eastAsia="Times New Roman" w:hAnsi="Times New Roman" w:cs="Times New Roman"/>
                <w:i/>
                <w:iCs/>
                <w:shd w:val="clear" w:color="auto" w:fill="FFFFFF"/>
                <w:lang w:eastAsia="bg-BG"/>
              </w:rPr>
              <w:t>.</w:t>
            </w:r>
            <w:r w:rsidRPr="00E9041A">
              <w:rPr>
                <w:rFonts w:ascii="Times New Roman" w:eastAsia="Times New Roman" w:hAnsi="Times New Roman" w:cs="Times New Roman"/>
                <w:shd w:val="clear" w:color="auto" w:fill="FFFFFF"/>
                <w:lang w:eastAsia="bg-BG"/>
              </w:rPr>
              <w:t xml:space="preserve">Това налага внасянето, адаптирането и опазването на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shd w:val="clear" w:color="auto" w:fill="FFFFFF"/>
                <w:lang w:eastAsia="bg-BG"/>
              </w:rPr>
              <w:t>биоагенти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shd w:val="clear" w:color="auto" w:fill="FFFFFF"/>
                <w:lang w:eastAsia="bg-BG"/>
              </w:rPr>
              <w:t xml:space="preserve"> с оглед успешен контрол на болестите и неприятелите.</w:t>
            </w:r>
            <w:r w:rsidRPr="00E9041A">
              <w:rPr>
                <w:rFonts w:ascii="Times New Roman" w:eastAsia="Times New Roman" w:hAnsi="Times New Roman" w:cs="Times New Roman"/>
                <w:i/>
                <w:iCs/>
                <w:shd w:val="clear" w:color="auto" w:fill="FFFFFF"/>
                <w:lang w:eastAsia="bg-BG"/>
              </w:rPr>
              <w:t xml:space="preserve"> </w:t>
            </w:r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В света се работи интензивно по разработване и производство на биопродукти, чрез които в почвата се внасят полезни микроорганизми, които подобряват здравословния статус и храненето на растенията. В растителнозащитните технологии навлизат вече нови пестициди на базата на растителни екстракти (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фитопестициди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), които имат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репелентно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и токсично действие спрямо вредителите. Основната цел е редуциране употребата на химични ПРЗ. Европа е на едно от първите места по производство и употреба на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биоагенти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в растениевъдството.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Прилага се използване на лепливи или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феромонови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уловки за мониторинг на вредителите. Прилагат се  минерални масла за контрол срещу тях.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Използат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се препарати на растителна основа. </w:t>
            </w:r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>Залага се на минерални соли, етерични масла, растителни екстракти, биологични агенти (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>микро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 xml:space="preserve">- и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>макробиоагенти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 xml:space="preserve">),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>компости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 xml:space="preserve">, устойчиви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>сортовe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color w:val="000000"/>
                <w:lang w:eastAsia="bg-BG"/>
              </w:rPr>
              <w:t>, агротехнически мероприятия и други.</w:t>
            </w:r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Използва се </w:t>
            </w:r>
            <w:r w:rsidRPr="00E9041A">
              <w:rPr>
                <w:rFonts w:ascii="Times New Roman" w:eastAsia="Times New Roman" w:hAnsi="Times New Roman" w:cs="Times New Roman"/>
                <w:bCs/>
                <w:lang w:eastAsia="bg-BG"/>
              </w:rPr>
              <w:t xml:space="preserve">соларизацията и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bCs/>
                <w:lang w:eastAsia="bg-BG"/>
              </w:rPr>
              <w:t>биофумигацията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b/>
                <w:lang w:eastAsia="bg-BG"/>
              </w:rPr>
              <w:t xml:space="preserve"> </w:t>
            </w:r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са нехимични методи за обеззаразяване на почвата в оранжериите. 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Прилагат се същите принципи за контрол на вредителите чрез лепливи пояси,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феромонови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уловки, естествени хищници на вредителите. В овощарството също се  прилагат минерални масла,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фитопестициди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и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биопестициди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за растителна защита.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Проблемът в съвременното овощарство и зеленчукопроизводство, свързан с ограниченото използване на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екологосъобразните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средства за растителна защита, се дължи до голяма степен на недостатъчните познания и информираност върху алтернативните методи; ограничения набор на пазара на разрешени за употреба биологични растителнозащитни продукти и все още неосъзнатата роля на биоразнообразието като решаващ фактор за </w:t>
            </w:r>
            <w:proofErr w:type="spellStart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>фитосанитарното</w:t>
            </w:r>
            <w:proofErr w:type="spellEnd"/>
            <w:r w:rsidRPr="00E9041A">
              <w:rPr>
                <w:rFonts w:ascii="Times New Roman" w:eastAsia="Times New Roman" w:hAnsi="Times New Roman" w:cs="Times New Roman"/>
                <w:lang w:eastAsia="bg-BG"/>
              </w:rPr>
              <w:t xml:space="preserve"> състояние на културите.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b/>
              </w:rPr>
              <w:t>10. Селекция и интродукция на адаптивни сортове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lastRenderedPageBreak/>
              <w:t>В зеленчукопроизводството:</w:t>
            </w:r>
          </w:p>
          <w:p w:rsidR="00CF3060" w:rsidRPr="00E9041A" w:rsidRDefault="00CF3060" w:rsidP="00CF3060">
            <w:pPr>
              <w:spacing w:before="120"/>
              <w:ind w:firstLine="709"/>
              <w:jc w:val="both"/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</w:pP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Това предполага създаване на биологични сортове градински бобови култури; линии и сортове с повишен брой и удължено развитие на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симбиотичните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грудки с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Rhizobium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и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микоризи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; сортове с толерантност или устойчивост на основни биотични и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абиотични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фактори за прилагане на безвредни химически продукти и сортове с подобрени качества на база повишени протеини,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биоактивни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вещества и основни микроелементи.</w:t>
            </w:r>
          </w:p>
          <w:p w:rsidR="00CF3060" w:rsidRPr="00E9041A" w:rsidRDefault="00CF3060" w:rsidP="00CF3060">
            <w:pPr>
              <w:spacing w:before="120"/>
              <w:ind w:firstLine="709"/>
              <w:jc w:val="both"/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</w:pP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При останалите зеленчукови култури </w:t>
            </w:r>
            <w:r w:rsidRPr="00E9041A">
              <w:rPr>
                <w:rFonts w:ascii="Times New Roman" w:eastAsia="Calibri" w:hAnsi="Times New Roman" w:cs="Times New Roman"/>
                <w:b/>
                <w:color w:val="000000"/>
                <w:shd w:val="clear" w:color="auto" w:fill="FFFFFF"/>
              </w:rPr>
              <w:t>създаването на линии и сортове толерантни/устойчиви към болести и неприятели</w:t>
            </w: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ще доведе до редуциране или премахване на третирания с пестициди, които унищожават полезната фауна (пчели, калинки, </w:t>
            </w:r>
            <w:proofErr w:type="spellStart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златоочици</w:t>
            </w:r>
            <w:proofErr w:type="spellEnd"/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и др.).</w:t>
            </w:r>
          </w:p>
          <w:p w:rsidR="00CF3060" w:rsidRPr="00E9041A" w:rsidRDefault="00CF3060" w:rsidP="00CF3060">
            <w:pPr>
              <w:spacing w:before="120"/>
              <w:ind w:firstLine="709"/>
              <w:jc w:val="both"/>
              <w:rPr>
                <w:rFonts w:ascii="Times New Roman" w:eastAsia="Calibri" w:hAnsi="Times New Roman" w:cs="Times New Roman"/>
                <w:b/>
                <w:color w:val="000000"/>
                <w:shd w:val="clear" w:color="auto" w:fill="FFFFFF"/>
              </w:rPr>
            </w:pPr>
            <w:r w:rsidRPr="00E9041A">
              <w:rPr>
                <w:rFonts w:ascii="Times New Roman" w:eastAsia="Calibri" w:hAnsi="Times New Roman" w:cs="Times New Roman"/>
                <w:b/>
                <w:color w:val="000000"/>
                <w:shd w:val="clear" w:color="auto" w:fill="FFFFFF"/>
              </w:rPr>
              <w:t xml:space="preserve">Селекцията на линии и сортове с понижени изисквания към храненето на растенията </w:t>
            </w: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ще доведе до намаление в количеството на използваните минерални торове. </w:t>
            </w:r>
            <w:r w:rsidRPr="00E9041A">
              <w:rPr>
                <w:rFonts w:ascii="Times New Roman" w:eastAsia="Calibri" w:hAnsi="Times New Roman" w:cs="Times New Roman"/>
                <w:b/>
                <w:color w:val="000000"/>
                <w:shd w:val="clear" w:color="auto" w:fill="FFFFFF"/>
              </w:rPr>
              <w:t>Селекцията на линии и сортове с понижени изисквания към напояването</w:t>
            </w: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 xml:space="preserve"> ще допринесе за опазване на водните ресурси. </w:t>
            </w:r>
            <w:r w:rsidRPr="00E9041A">
              <w:rPr>
                <w:rFonts w:ascii="Times New Roman" w:eastAsia="Calibri" w:hAnsi="Times New Roman" w:cs="Times New Roman"/>
                <w:b/>
                <w:color w:val="000000"/>
                <w:shd w:val="clear" w:color="auto" w:fill="FFFFFF"/>
              </w:rPr>
              <w:t>Създаването на линии и сортове с по-високо качество.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  <w:b/>
                <w:i/>
                <w:u w:val="single"/>
              </w:rPr>
            </w:pPr>
            <w:r w:rsidRPr="00E9041A">
              <w:rPr>
                <w:rFonts w:ascii="Times New Roman" w:eastAsia="Calibri" w:hAnsi="Times New Roman" w:cs="Times New Roman"/>
                <w:b/>
                <w:i/>
                <w:u w:val="single"/>
              </w:rPr>
              <w:t>В овощарството:</w:t>
            </w:r>
          </w:p>
          <w:p w:rsidR="00CF3060" w:rsidRPr="00E9041A" w:rsidRDefault="00CF3060" w:rsidP="00CF306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E9041A">
              <w:rPr>
                <w:rFonts w:ascii="Times New Roman" w:eastAsia="Calibri" w:hAnsi="Times New Roman" w:cs="Times New Roman"/>
              </w:rPr>
              <w:t xml:space="preserve">Селекция и интродукция на сортове при отделните овощни видове адаптивни към различни почвени типове и към динамично променящия се климат. Затоплянето на климата води до сериозни поражения от късни зимни и ранни пролетни мразове, от летни засушавания и повишено слънчево греене. Това налага създаване и проучване на сортове които страдат най-малко от тези стресови фактори. Освен това устойчивостта към икономически важни болести и неприятели (вирусни и </w:t>
            </w:r>
            <w:proofErr w:type="spellStart"/>
            <w:r w:rsidRPr="00E9041A">
              <w:rPr>
                <w:rFonts w:ascii="Times New Roman" w:eastAsia="Calibri" w:hAnsi="Times New Roman" w:cs="Times New Roman"/>
              </w:rPr>
              <w:t>фитоплазмени</w:t>
            </w:r>
            <w:proofErr w:type="spellEnd"/>
            <w:r w:rsidRPr="00E9041A">
              <w:rPr>
                <w:rFonts w:ascii="Times New Roman" w:eastAsia="Calibri" w:hAnsi="Times New Roman" w:cs="Times New Roman"/>
              </w:rPr>
              <w:t xml:space="preserve"> болести, листни въшки, и др.) също зависят от сортовите особености.</w:t>
            </w:r>
          </w:p>
          <w:p w:rsidR="001B04CC" w:rsidRPr="00E9041A" w:rsidRDefault="00CF3060" w:rsidP="00457A7D">
            <w:pPr>
              <w:spacing w:before="120"/>
              <w:ind w:firstLine="709"/>
              <w:jc w:val="both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eastAsia="Calibri" w:hAnsi="Times New Roman" w:cs="Times New Roman"/>
                <w:color w:val="000000"/>
                <w:shd w:val="clear" w:color="auto" w:fill="FFFFFF"/>
              </w:rPr>
              <w:t>Прилагането на зелените технологии в овощарството и зеленчукопроизводството ще рефлектира благоприятно върху опазването на околната среда, получаването на по-чиста и безопасна храна и ще подобри здравето на хората.</w:t>
            </w:r>
          </w:p>
        </w:tc>
        <w:tc>
          <w:tcPr>
            <w:tcW w:w="1275" w:type="dxa"/>
            <w:shd w:val="clear" w:color="auto" w:fill="FFFFFF" w:themeFill="background1"/>
          </w:tcPr>
          <w:p w:rsidR="001B04CC" w:rsidRPr="00E9041A" w:rsidRDefault="00077664" w:rsidP="00CC1D5C">
            <w:pPr>
              <w:rPr>
                <w:rFonts w:ascii="Times New Roman" w:hAnsi="Times New Roman" w:cs="Times New Roman"/>
                <w:b/>
              </w:rPr>
            </w:pPr>
            <w:r w:rsidRPr="00CC1D5C">
              <w:rPr>
                <w:rFonts w:ascii="Times New Roman" w:hAnsi="Times New Roman" w:cs="Times New Roman"/>
                <w:b/>
              </w:rPr>
              <w:lastRenderedPageBreak/>
              <w:t>Приема се частично</w:t>
            </w:r>
          </w:p>
        </w:tc>
        <w:tc>
          <w:tcPr>
            <w:tcW w:w="4560" w:type="dxa"/>
            <w:shd w:val="clear" w:color="auto" w:fill="FFFFFF" w:themeFill="background1"/>
          </w:tcPr>
          <w:p w:rsidR="00077664" w:rsidRDefault="004C30B1" w:rsidP="00216FF2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4C30B1">
              <w:rPr>
                <w:rFonts w:ascii="Times New Roman" w:hAnsi="Times New Roman" w:cs="Times New Roman"/>
                <w:bCs/>
              </w:rPr>
              <w:t xml:space="preserve">В обхвата на </w:t>
            </w:r>
            <w:proofErr w:type="spellStart"/>
            <w:r w:rsidRPr="004C30B1"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 w:rsidRPr="004C30B1">
              <w:rPr>
                <w:rFonts w:ascii="Times New Roman" w:hAnsi="Times New Roman" w:cs="Times New Roman"/>
                <w:bCs/>
              </w:rPr>
              <w:t xml:space="preserve"> схемата са предложени 3 различни </w:t>
            </w:r>
            <w:r>
              <w:rPr>
                <w:rFonts w:ascii="Times New Roman" w:hAnsi="Times New Roman" w:cs="Times New Roman"/>
                <w:bCs/>
              </w:rPr>
              <w:t xml:space="preserve">земеделски практики, които допринасят за климата и околната среда: диверсификация на културите, поддържане трайните насаждения и екстензивно поддържане на постоянно затревените площи с животни. </w:t>
            </w:r>
            <w:r w:rsidR="00077664">
              <w:rPr>
                <w:rFonts w:ascii="Times New Roman" w:hAnsi="Times New Roman" w:cs="Times New Roman"/>
                <w:bCs/>
              </w:rPr>
              <w:t xml:space="preserve">При трайните насаждения е включена </w:t>
            </w:r>
            <w:r w:rsidR="00077664" w:rsidRPr="00077664">
              <w:rPr>
                <w:rFonts w:ascii="Times New Roman" w:hAnsi="Times New Roman" w:cs="Times New Roman"/>
                <w:bCs/>
              </w:rPr>
              <w:t xml:space="preserve">практиката за раздробяване и оставяне на вегетативна маса (клони и лозови </w:t>
            </w:r>
            <w:proofErr w:type="spellStart"/>
            <w:r w:rsidR="00077664" w:rsidRPr="00077664">
              <w:rPr>
                <w:rFonts w:ascii="Times New Roman" w:hAnsi="Times New Roman" w:cs="Times New Roman"/>
                <w:bCs/>
              </w:rPr>
              <w:t>леторасти</w:t>
            </w:r>
            <w:proofErr w:type="spellEnd"/>
            <w:r w:rsidR="00077664" w:rsidRPr="00077664">
              <w:rPr>
                <w:rFonts w:ascii="Times New Roman" w:hAnsi="Times New Roman" w:cs="Times New Roman"/>
                <w:bCs/>
              </w:rPr>
              <w:t>) при резитба.</w:t>
            </w:r>
          </w:p>
          <w:p w:rsidR="001B04CC" w:rsidRDefault="00077664" w:rsidP="00216FF2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Целта на комплексната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схема е </w:t>
            </w:r>
            <w:r w:rsidR="004C30B1">
              <w:rPr>
                <w:rFonts w:ascii="Times New Roman" w:hAnsi="Times New Roman" w:cs="Times New Roman"/>
                <w:bCs/>
              </w:rPr>
              <w:t>постигането на максимален екологичен ефект посредством широк мащаб на приложимост върху използваната земеделска площ.</w:t>
            </w:r>
          </w:p>
          <w:p w:rsidR="00216FF2" w:rsidRDefault="00216FF2" w:rsidP="00216FF2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Зелената архитектура е комплекс от интервенции, приложими посредством </w:t>
            </w:r>
            <w:r>
              <w:rPr>
                <w:rFonts w:ascii="Times New Roman" w:hAnsi="Times New Roman" w:cs="Times New Roman"/>
                <w:bCs/>
              </w:rPr>
              <w:lastRenderedPageBreak/>
              <w:t xml:space="preserve">условността,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еко-схемите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в директните плащания и интервенциите, свързани с околна среда и климат във Втори Стълб.</w:t>
            </w:r>
          </w:p>
          <w:p w:rsidR="00216FF2" w:rsidRDefault="00216FF2" w:rsidP="00216FF2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Еко схемата в директните плащания цели постигането на положителен ефект върху околната среда посредством по-голям мащаб на прилагане на земеделските практики върху възможно най-големи части от използваната земеделска площ. Целта на предложените практики е да бъдат опростени, широко приложими, ефикасни от гледна точка на околната среда и запазващи конкурентоспособността на земеделските стопанства.</w:t>
            </w:r>
          </w:p>
          <w:p w:rsidR="00216FF2" w:rsidRPr="00216FF2" w:rsidRDefault="00216FF2" w:rsidP="00216FF2">
            <w:pPr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</w:p>
        </w:tc>
      </w:tr>
      <w:tr w:rsidR="001B04CC" w:rsidRPr="00E9041A" w:rsidTr="00E9041A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CF3060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lastRenderedPageBreak/>
              <w:t xml:space="preserve">Българско дружество за защита на </w:t>
            </w:r>
            <w:r w:rsidRPr="00E9041A">
              <w:rPr>
                <w:rFonts w:ascii="Times New Roman" w:hAnsi="Times New Roman" w:cs="Times New Roman"/>
                <w:b/>
              </w:rPr>
              <w:lastRenderedPageBreak/>
              <w:t>птиците</w:t>
            </w:r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bookmarkStart w:id="0" w:name="_MON_1672501416"/>
            <w:bookmarkEnd w:id="0"/>
            <w:r w:rsidRPr="007326F0">
              <w:rPr>
                <w:rFonts w:ascii="Times New Roman" w:eastAsia="Calibri" w:hAnsi="Times New Roman" w:cs="Times New Roman"/>
              </w:rPr>
              <w:lastRenderedPageBreak/>
              <w:t>ІІІ. Бележки по проекта на интервенции, финансирани от ЕФГЗ - Схеми за климата и околната среда (Еко схеми)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lastRenderedPageBreak/>
              <w:t>Бележки по дейност (практика) „Екстензивно поддържане на постоянно затревените площи с пасищни животни“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 xml:space="preserve">Въпреки заложените специфични цели насочени към защита на биологичното разнообразие, подобряване на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екосистемните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услуги и опазване на местообитанията и ландшафта, през последните годни изпълнението на условията за допустимост за подпомагане на постоянно затревените площи от земеделските стопани доведе до неконтролирано залпово унищожаване, на огромни територии с дървесна и храстова растителност. Дървесната и особено храстовата растителност, е ключов елемент от местообитанията на множество животински видове, най-вече представители на класовете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Reptilia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(Влечуги),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Aves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(Птици),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Mammalia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(Бозайници),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Arachnida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(Паякообразни) и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Insecta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(Насекоми). Отстраняването на дървесната и храстова растителност води до трайно увреждане, а в редица случаи и унищожаване на места за размножаване, укритие и изхранване на видовете. Това води до значително негативно повлияване на жизнените им процеси, което е най-силно изразено при видовете специалисти по откритите пространства.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 xml:space="preserve">Премахването на храстовата и дървесна растителност е свързано с използването на техника, оказваща допълнително негативно въздействие, в това число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шредери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или храсторези. През последните години ползването на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шредери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взима превес с оглед по-добрата им ефективност. Използването на тези технически способи води до пряко унищожаване на екземпляри, а не рядко и до унищожаване на цели локални популации.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>Друг способ, използван за трайно премахване на дървесната и храстова растителност, е нейното опожаряване. Прилага се директно опожаряване или запалване на оставащите над земята части, след като дърветата/храстите са отстранени механично. Тази практика също води до директно унищожаване на екземпляри, а в редица случаи и до увреждане или унищожаване на цели локални популации.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 xml:space="preserve">Директното въздействие върху животински видове и техни популации се мултиплицира значително, тъй като отстраняването на дървесна и храстова растителност, и нейното опожаряване, се провежда в активни период на видовете (м. март - м. септември), в това число и по </w:t>
            </w:r>
            <w:r w:rsidRPr="007326F0">
              <w:rPr>
                <w:rFonts w:ascii="Times New Roman" w:eastAsia="Calibri" w:hAnsi="Times New Roman" w:cs="Times New Roman"/>
              </w:rPr>
              <w:lastRenderedPageBreak/>
              <w:t>време на тяхното размножаване.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>След прекратяване на отстраняването ѝ, храстовата и дървесна растителност потенциално може да се възстанови, но за разлика то местообитанията, популациите на видовете биха се възстановили изключително трудно след комбинираното увреждане на техните местообитания и залпово унищожаване на екземпляри.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 xml:space="preserve">Ефект: В зоните от Натура 2000 (и не само), премахването на храстовата и дървесна растителност посредством механизирана техника и/или опожаряване и свързаното с това пряко унищожаване на екземпляри, на практика, представлява или води до увреждане или унищожаване на природни местообитания, </w:t>
            </w:r>
            <w:proofErr w:type="spellStart"/>
            <w:r w:rsidRPr="007326F0">
              <w:rPr>
                <w:rFonts w:ascii="Times New Roman" w:eastAsia="Calibri" w:hAnsi="Times New Roman" w:cs="Times New Roman"/>
              </w:rPr>
              <w:t>местообитания</w:t>
            </w:r>
            <w:proofErr w:type="spellEnd"/>
            <w:r w:rsidRPr="007326F0">
              <w:rPr>
                <w:rFonts w:ascii="Times New Roman" w:eastAsia="Calibri" w:hAnsi="Times New Roman" w:cs="Times New Roman"/>
              </w:rPr>
              <w:t xml:space="preserve"> на видове и пряко унищожаване на видове предмет на опазване в зоните. Голяма част от унищожаваните екземпляри са от видове, които са включени в Приложение 3 на ЗБР, което води до неговото нарушаване от страна на земеделските стопани. В някои случаи се унищожават европейски и световно застрашени видове, което се разглежда като престъпление от НК на Р България. В повечето случаи, премахването на дървесна и храстова растителност е свързано и с нарушаване на забраните и режимите, разписани в заповедите за обявяване на защитени зони от Натура 2000. Практически тези нарушение не се констатират, тъй като в страната теренния контрол по прилагане на ЗБР практически не съществува или се свежда до реакция на подадени сигнали. 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 xml:space="preserve">Обръщаме сериозно внимание, че описаният проблем не е изолиран, а се наблюдава на територията на цялата страна, като обхваща огромни територии от Натура 2000. В тази връзка, ако не бъдат предприети незабавни и ефективни мерки за неговото пресичане, ще доведе до изчезване на видове и природни местообитания предмет на опазване в защитените зони, в цели региони от страната. В тази връзка считаме, че поддържането (управлението) на постоянно затревени площи (постоянни пасища) следва да бъде обвързано с поддържане на характеристики на ландшафта, като дървесната и храстова растителност имат ключово значение в тази посока. Предвид това направленията (практиките) свързани с поддържане на постоянно затревени площи,  следва да отразяват необходимостта от опазване на единични или групи от дървесна и храстова растителност. Дефиницията за постоянно затревени площи и </w:t>
            </w:r>
            <w:r w:rsidRPr="007326F0">
              <w:rPr>
                <w:rFonts w:ascii="Times New Roman" w:eastAsia="Calibri" w:hAnsi="Times New Roman" w:cs="Times New Roman"/>
              </w:rPr>
              <w:lastRenderedPageBreak/>
              <w:t xml:space="preserve">условията за допустимост за директни плащания следва да отразява регионалните особености на постоянните пасища и да осигуряват поддържането на дървесната и храстова растителност, като ключов компонент на ландшафта и предпоставка за високо биологично разнообразие. Някои проучвания и препоръки в тази насока са представени в следния документ: </w:t>
            </w:r>
            <w:hyperlink r:id="rId12" w:history="1">
              <w:r w:rsidRPr="007326F0">
                <w:rPr>
                  <w:rFonts w:ascii="Times New Roman" w:eastAsia="Calibri" w:hAnsi="Times New Roman" w:cs="Times New Roman"/>
                </w:rPr>
                <w:t>http://landforlife.org/download/pages/3/Doklad_Merki_Pasishta_web.pdf</w:t>
              </w:r>
            </w:hyperlink>
            <w:r w:rsidRPr="007326F0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 xml:space="preserve">Постоянно затревените площи са единственият вид земеползване, което може едновременно да допринесе за опазване на биоразнообразието и за намаляване на въглеродния отпечатък от земеделското производство, съгласно изискванията </w:t>
            </w:r>
            <w:r w:rsidRPr="00CC1D5C">
              <w:rPr>
                <w:rFonts w:ascii="Times New Roman" w:eastAsia="Calibri" w:hAnsi="Times New Roman" w:cs="Times New Roman"/>
              </w:rPr>
              <w:t>на Стратегията на ЕС за биологичното разнообразие до 2030 г.  Необходима е целева еко-схема, която да подпомага устойчивото стопанисване на постоянно затревените площи. Препоръчително е подпомагането да е стъпковидно и да отразява ползите за околната среда: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Базисно ниво на плащане за постоянно затревени площи с до 10% характеристики и елементи на ландшафта в тях.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Ниво 1 с бонусно плащане за постоянно затревени площи с 10,1% - 15% характеристики и елементи на ландшафта в тях.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Ниво 2 с по-високо бонусно плащане за постоянно затревени площи с 15,1% - 20% характеристики и елементи на ландшафта в тях.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Ниво 3 с най-високо бонусно плащане за постоянно затревени площи с 20,1% - 25% характеристики и елементи на ландшафта в тях.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В предлаганата еко-схема за подпомагане на постоянно затревените площи не предоставя ясно описание и обосновка на: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Как схемата надгражда ДЗЕС1 в качествено отношение и как ще се наблюдава подобряването на благоприятгния статус на ПЗП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 xml:space="preserve">Кои постоянно затревени площи ще се подпомагат: сенокосните и влажните ливади, влизат ли в обхвата на подпомагане на схемата? </w:t>
            </w:r>
            <w:r w:rsidRPr="00CC1D5C">
              <w:rPr>
                <w:rFonts w:ascii="Times New Roman" w:eastAsia="Calibri" w:hAnsi="Times New Roman" w:cs="Times New Roman"/>
              </w:rPr>
              <w:lastRenderedPageBreak/>
              <w:t>Считаме, че трябва да се направи ясно разграничение между различните видове постоянно затремени площи?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Какви са изискванията към бенефициенти, които ще се подпомагат по схемата – минимална площ, минимален брой Ж.Е.</w:t>
            </w:r>
          </w:p>
          <w:p w:rsidR="007326F0" w:rsidRPr="00CC1D5C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Какви пасищни животни ще са включени в схемата – например конете, включани ли са или не?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CC1D5C">
              <w:rPr>
                <w:rFonts w:ascii="Times New Roman" w:eastAsia="Calibri" w:hAnsi="Times New Roman" w:cs="Times New Roman"/>
              </w:rPr>
              <w:t>Минималната и максималната гъстота на Ж.Е. следва да бъде съобразена с природозащитния статус на постоянните пасища. В повечето случаи в слабопродуктивните  и екологично-чувствителните постоянни пасища гъстота на паша от 1 ЖЕ/ха би довела до влошаване на природозащитния  им статус.</w:t>
            </w: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</w:p>
          <w:p w:rsidR="007326F0" w:rsidRPr="007326F0" w:rsidRDefault="007326F0" w:rsidP="007326F0">
            <w:pPr>
              <w:spacing w:before="120"/>
              <w:ind w:firstLine="708"/>
              <w:jc w:val="both"/>
              <w:rPr>
                <w:rFonts w:ascii="Times New Roman" w:eastAsia="Calibri" w:hAnsi="Times New Roman" w:cs="Times New Roman"/>
              </w:rPr>
            </w:pPr>
            <w:r w:rsidRPr="007326F0">
              <w:rPr>
                <w:rFonts w:ascii="Times New Roman" w:eastAsia="Calibri" w:hAnsi="Times New Roman" w:cs="Times New Roman"/>
              </w:rPr>
              <w:t>Категорично е неприемливо ограничаването на подпомагането за постоянно затревените площи само до допустимите такива!! Допустимите за подпомагане ПЗП обхващат по-малко от половината от всички ПЗП в България. Същевременно, екологичните ползи за климата и опазване на биорзанообразието се създават от ВСИЧКИ постоянно затревени площи.</w:t>
            </w:r>
          </w:p>
          <w:p w:rsidR="007326F0" w:rsidRDefault="007326F0" w:rsidP="00CF306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 w:cs="Times New Roman"/>
                <w:lang w:eastAsia="bg-BG"/>
              </w:rPr>
            </w:pPr>
          </w:p>
          <w:p w:rsidR="001B04CC" w:rsidRPr="00E9041A" w:rsidRDefault="00CF3060" w:rsidP="00CF306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lang w:eastAsia="bg-BG"/>
              </w:rPr>
              <w:object w:dxaOrig="1531" w:dyaOrig="1002">
                <v:shape id="_x0000_i1028" type="#_x0000_t75" style="width:76.75pt;height:50.65pt" o:ole="">
                  <v:imagedata r:id="rId13" o:title=""/>
                </v:shape>
                <o:OLEObject Type="Embed" ProgID="Word.Document.12" ShapeID="_x0000_i1028" DrawAspect="Icon" ObjectID="_1673870194" r:id="rId14">
                  <o:FieldCodes>\s</o:FieldCodes>
                </o:OLEObject>
              </w:objec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1B04CC" w:rsidRPr="00E9041A" w:rsidRDefault="00CC020A" w:rsidP="001B04CC">
            <w:pPr>
              <w:rPr>
                <w:rFonts w:ascii="Times New Roman" w:hAnsi="Times New Roman" w:cs="Times New Roman"/>
                <w:b/>
              </w:rPr>
            </w:pPr>
            <w:r w:rsidRPr="00CC1D5C">
              <w:rPr>
                <w:rFonts w:ascii="Times New Roman" w:hAnsi="Times New Roman" w:cs="Times New Roman"/>
                <w:b/>
              </w:rPr>
              <w:lastRenderedPageBreak/>
              <w:t>Приема се частично</w:t>
            </w:r>
          </w:p>
        </w:tc>
        <w:tc>
          <w:tcPr>
            <w:tcW w:w="4560" w:type="dxa"/>
            <w:shd w:val="clear" w:color="auto" w:fill="FFFFFF" w:themeFill="background1"/>
          </w:tcPr>
          <w:p w:rsidR="007D3886" w:rsidRDefault="007326F0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В разпоредбата на чл. 28 от проекта на Регламент за Страте</w:t>
            </w:r>
            <w:bookmarkStart w:id="1" w:name="_GoBack"/>
            <w:r>
              <w:rPr>
                <w:rFonts w:ascii="Times New Roman" w:hAnsi="Times New Roman" w:cs="Times New Roman"/>
                <w:bCs/>
              </w:rPr>
              <w:t>г</w:t>
            </w:r>
            <w:bookmarkEnd w:id="1"/>
            <w:r>
              <w:rPr>
                <w:rFonts w:ascii="Times New Roman" w:hAnsi="Times New Roman" w:cs="Times New Roman"/>
                <w:bCs/>
              </w:rPr>
              <w:t xml:space="preserve">ическите планове (която </w:t>
            </w:r>
            <w:r>
              <w:rPr>
                <w:rFonts w:ascii="Times New Roman" w:hAnsi="Times New Roman" w:cs="Times New Roman"/>
                <w:bCs/>
              </w:rPr>
              <w:lastRenderedPageBreak/>
              <w:t xml:space="preserve">дефинира условията за създаване и прилагане на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схеми) е еднозначно уточнено, че земеделските практики и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схемите се прилагат върху площите, които отговарят на условията за допустимост за директни плащания. В тази връзка не е възможно да се увеличи приложимостта на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схеми върху площи, които не са допустими за базово плащане в директните плащания.</w:t>
            </w:r>
          </w:p>
          <w:p w:rsidR="00170C48" w:rsidRDefault="007326F0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Постоянно затревени площи (ПЗП), които са били опожарени през съответната календарна година не са допустими за подпомагане в рамките на същата година. </w:t>
            </w:r>
            <w:r w:rsidR="00170C48">
              <w:rPr>
                <w:rFonts w:ascii="Times New Roman" w:hAnsi="Times New Roman" w:cs="Times New Roman"/>
                <w:bCs/>
              </w:rPr>
              <w:t>По този начин е създадена предпоставка за прилагане на разубеждаващи мерки по отношение на опожаряването.</w:t>
            </w:r>
          </w:p>
          <w:p w:rsidR="004924F3" w:rsidRDefault="00170C48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Забраните в обхвата на зоните по Натура 2000 </w:t>
            </w:r>
            <w:r w:rsidR="004924F3">
              <w:rPr>
                <w:rFonts w:ascii="Times New Roman" w:hAnsi="Times New Roman" w:cs="Times New Roman"/>
                <w:bCs/>
              </w:rPr>
              <w:t>са част от условността и тяхното нарушение носи финансови редукции.</w:t>
            </w:r>
          </w:p>
          <w:p w:rsidR="00317630" w:rsidRDefault="004924F3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Предложената земеделска практика за поддържане на ПЗП с екстензивна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паша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надгражда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ДЗЕС 1. ДЗЕС 1 предвижда запазването на съотношението на ПЗП към ИЗП на национално ниво. Предложената практика предвижда не само да се запази площта, но и върху нея да се приложи подходящ режим на управление. Практиката съвпада и с препоръчаната от ЕК система за екстензивно използване на ПЗП, която </w:t>
            </w:r>
            <w:r w:rsidR="00CC020A">
              <w:rPr>
                <w:rFonts w:ascii="Times New Roman" w:hAnsi="Times New Roman" w:cs="Times New Roman"/>
                <w:bCs/>
              </w:rPr>
              <w:t xml:space="preserve">има </w:t>
            </w:r>
            <w:r>
              <w:rPr>
                <w:rFonts w:ascii="Times New Roman" w:hAnsi="Times New Roman" w:cs="Times New Roman"/>
                <w:bCs/>
              </w:rPr>
              <w:t>принос към земеделието и въглеродните емисии (</w:t>
            </w:r>
            <w:r>
              <w:rPr>
                <w:rFonts w:ascii="Times New Roman" w:hAnsi="Times New Roman" w:cs="Times New Roman"/>
                <w:bCs/>
                <w:lang w:val="en-US"/>
              </w:rPr>
              <w:t>carbon farming).</w:t>
            </w:r>
            <w:r w:rsidR="00317630">
              <w:rPr>
                <w:rFonts w:ascii="Times New Roman" w:hAnsi="Times New Roman" w:cs="Times New Roman"/>
                <w:bCs/>
                <w:lang w:val="en-US"/>
              </w:rPr>
              <w:t xml:space="preserve"> </w:t>
            </w:r>
          </w:p>
          <w:p w:rsidR="001B04CC" w:rsidRDefault="00317630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Съгласно изготвеният за България „Анализ на влиянието на селското стопанство върху </w:t>
            </w:r>
            <w:r>
              <w:rPr>
                <w:rFonts w:ascii="Times New Roman" w:hAnsi="Times New Roman" w:cs="Times New Roman"/>
                <w:bCs/>
              </w:rPr>
              <w:lastRenderedPageBreak/>
              <w:t>състоянието на околната среда и климатичните промени“ в частта з</w:t>
            </w:r>
            <w:r w:rsidR="008677EF">
              <w:rPr>
                <w:rFonts w:ascii="Times New Roman" w:hAnsi="Times New Roman" w:cs="Times New Roman"/>
                <w:bCs/>
              </w:rPr>
              <w:t>а специфична цел 6 определя, че „</w:t>
            </w:r>
            <w:r w:rsidRPr="008677EF">
              <w:rPr>
                <w:rFonts w:ascii="Times New Roman" w:hAnsi="Times New Roman" w:cs="Times New Roman"/>
                <w:bCs/>
              </w:rPr>
              <w:t xml:space="preserve">много важен индикатор, който описва площите под управленски практики, потенциално подпомагащи биологичното разнообразие е интензивността на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земеползване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. Той се състои от 2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поддиапазона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- интензивност на вложенията във фермата и площите под екстензивна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паша</w:t>
            </w:r>
            <w:proofErr w:type="spellEnd"/>
            <w:r w:rsidR="008677EF" w:rsidRPr="008677EF">
              <w:rPr>
                <w:rFonts w:ascii="Times New Roman" w:hAnsi="Times New Roman" w:cs="Times New Roman"/>
                <w:bCs/>
              </w:rPr>
              <w:t>.“</w:t>
            </w:r>
            <w:r w:rsidR="008677EF">
              <w:rPr>
                <w:rFonts w:ascii="Times New Roman" w:hAnsi="Times New Roman" w:cs="Times New Roman"/>
                <w:bCs/>
              </w:rPr>
              <w:t xml:space="preserve"> </w:t>
            </w:r>
          </w:p>
          <w:p w:rsidR="008677EF" w:rsidRDefault="008677EF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 w:rsidRPr="008677EF">
              <w:rPr>
                <w:rFonts w:ascii="Times New Roman" w:hAnsi="Times New Roman" w:cs="Times New Roman"/>
                <w:bCs/>
              </w:rPr>
              <w:t xml:space="preserve">Анализът извежда следните заключения: </w:t>
            </w:r>
            <w:r>
              <w:rPr>
                <w:rFonts w:ascii="Times New Roman" w:hAnsi="Times New Roman" w:cs="Times New Roman"/>
                <w:bCs/>
              </w:rPr>
              <w:t>„</w:t>
            </w:r>
            <w:r w:rsidRPr="008677EF">
              <w:rPr>
                <w:rFonts w:ascii="Times New Roman" w:hAnsi="Times New Roman" w:cs="Times New Roman"/>
                <w:bCs/>
              </w:rPr>
              <w:t xml:space="preserve">Екстензивната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паша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показва гъстотата на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пашуващите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животни, ненадвишаваща 1 животинска единица (ЖЕ) на 1 ха фуражна площ (фуражни култури, постоянни пасища и ливади), като дял от ОЗП. Изменението на площите под екстензивна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паша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показва намаляване на натиска на животновъдството. Екстензивното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пашуване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допринася за намаляване на уплътняването на почвата вследствие на по-малкия брой животни на единица площ, намаляване на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водоплощната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ерозия и запазване на биоразнообразието от пасищни видове растения. По-високата гъстота на животните на единица пасищна площ означава и по-голямо количество отделени екскременти на ха на фуражна площ, което увеличава риска от натоварване с хранителни вещества (азот и фосфор) и придвижване на излишъците от тях чрез повърхностните и подпочвени води. По-високата гъстота на животните на единица площ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доприняся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и за завишаване на емисиите на парникови газове (азотни съединения).</w:t>
            </w:r>
            <w:r>
              <w:rPr>
                <w:rFonts w:ascii="Times New Roman" w:hAnsi="Times New Roman" w:cs="Times New Roman"/>
                <w:bCs/>
              </w:rPr>
              <w:t>“</w:t>
            </w:r>
          </w:p>
          <w:p w:rsidR="008677EF" w:rsidRDefault="008677EF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 xml:space="preserve">Във връзка с научно базираните заключения са предложени и параметрите на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схемата в директните плащания. Отчитането на ефекта от прилагането на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схемата ще се извършва посредством наборът от индикатори, които са дефинирани за всички държави членки в Анекс </w:t>
            </w:r>
            <w:r>
              <w:rPr>
                <w:rFonts w:ascii="Times New Roman" w:hAnsi="Times New Roman" w:cs="Times New Roman"/>
                <w:bCs/>
                <w:lang w:val="en-US"/>
              </w:rPr>
              <w:t>I</w:t>
            </w:r>
            <w:r>
              <w:rPr>
                <w:rFonts w:ascii="Times New Roman" w:hAnsi="Times New Roman" w:cs="Times New Roman"/>
                <w:bCs/>
              </w:rPr>
              <w:t xml:space="preserve"> на проекта на Регламент за Стратегическите планове.</w:t>
            </w:r>
          </w:p>
          <w:p w:rsidR="008677EF" w:rsidRPr="008677EF" w:rsidRDefault="008677EF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 w:rsidRPr="008677EF">
              <w:rPr>
                <w:rFonts w:ascii="Times New Roman" w:hAnsi="Times New Roman" w:cs="Times New Roman"/>
                <w:bCs/>
              </w:rPr>
              <w:t xml:space="preserve">Изискванията за допустимост са описани в интервенцията: Площта на постоянно затревените площи трябва да отговаря на изискванията за допустимост за директни плащания. Постоянно затревената площ се поддържа посредством екстензивно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пашуване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от 0.3 до 1 ЖЕ/ха. На постоянно затревените площи се осъществява </w:t>
            </w:r>
            <w:proofErr w:type="spellStart"/>
            <w:r w:rsidRPr="008677EF">
              <w:rPr>
                <w:rFonts w:ascii="Times New Roman" w:hAnsi="Times New Roman" w:cs="Times New Roman"/>
                <w:bCs/>
              </w:rPr>
              <w:t>пашуване</w:t>
            </w:r>
            <w:proofErr w:type="spellEnd"/>
            <w:r w:rsidRPr="008677EF">
              <w:rPr>
                <w:rFonts w:ascii="Times New Roman" w:hAnsi="Times New Roman" w:cs="Times New Roman"/>
                <w:bCs/>
              </w:rPr>
              <w:t xml:space="preserve"> на животни от минимум 60 дни през съответната година.</w:t>
            </w:r>
          </w:p>
          <w:p w:rsidR="008677EF" w:rsidRPr="008677EF" w:rsidRDefault="008677EF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</w:p>
          <w:p w:rsidR="008677EF" w:rsidRDefault="008677EF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</w:p>
          <w:p w:rsidR="008677EF" w:rsidRPr="008677EF" w:rsidRDefault="008677EF" w:rsidP="008677EF">
            <w:pPr>
              <w:jc w:val="both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</w:p>
          <w:p w:rsidR="008677EF" w:rsidRPr="007D3886" w:rsidRDefault="008677EF" w:rsidP="008677EF">
            <w:pPr>
              <w:jc w:val="both"/>
              <w:rPr>
                <w:rFonts w:ascii="Times New Roman" w:hAnsi="Times New Roman" w:cs="Times New Roman"/>
                <w:bCs/>
              </w:rPr>
            </w:pPr>
          </w:p>
        </w:tc>
      </w:tr>
      <w:tr w:rsidR="001B04CC" w:rsidRPr="00E9041A" w:rsidTr="00CC1D5C">
        <w:tc>
          <w:tcPr>
            <w:tcW w:w="1701" w:type="dxa"/>
            <w:shd w:val="clear" w:color="auto" w:fill="FFFFFF" w:themeFill="background1"/>
            <w:vAlign w:val="center"/>
          </w:tcPr>
          <w:p w:rsidR="001B04CC" w:rsidRPr="00E9041A" w:rsidRDefault="00CF3060" w:rsidP="001B04C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b/>
              </w:rPr>
              <w:lastRenderedPageBreak/>
              <w:t>НОКА</w:t>
            </w:r>
          </w:p>
        </w:tc>
        <w:tc>
          <w:tcPr>
            <w:tcW w:w="7348" w:type="dxa"/>
            <w:shd w:val="clear" w:color="auto" w:fill="FFFFFF" w:themeFill="background1"/>
            <w:vAlign w:val="center"/>
          </w:tcPr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E9041A">
              <w:rPr>
                <w:sz w:val="22"/>
                <w:szCs w:val="22"/>
                <w:lang w:val="bg-BG" w:eastAsia="bg-BG"/>
              </w:rPr>
              <w:t>1.</w:t>
            </w:r>
            <w:r w:rsidRPr="00E9041A">
              <w:rPr>
                <w:sz w:val="22"/>
                <w:szCs w:val="22"/>
                <w:lang w:val="bg-BG" w:eastAsia="bg-BG"/>
              </w:rPr>
              <w:tab/>
              <w:t>В зависимост от технологията на отглеждане, която всеки животновъд  прилага в стопанството си:</w:t>
            </w:r>
          </w:p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E9041A">
              <w:rPr>
                <w:sz w:val="22"/>
                <w:szCs w:val="22"/>
                <w:lang w:val="bg-BG" w:eastAsia="bg-BG"/>
              </w:rPr>
              <w:t>•</w:t>
            </w:r>
            <w:r w:rsidRPr="00E9041A">
              <w:rPr>
                <w:sz w:val="22"/>
                <w:szCs w:val="22"/>
                <w:lang w:val="bg-BG" w:eastAsia="bg-BG"/>
              </w:rPr>
              <w:tab/>
              <w:t xml:space="preserve">оборно-пасищно отглеждане – екстензивната </w:t>
            </w:r>
            <w:proofErr w:type="spellStart"/>
            <w:r w:rsidRPr="00E9041A">
              <w:rPr>
                <w:sz w:val="22"/>
                <w:szCs w:val="22"/>
                <w:lang w:val="bg-BG" w:eastAsia="bg-BG"/>
              </w:rPr>
              <w:t>паша</w:t>
            </w:r>
            <w:proofErr w:type="spellEnd"/>
            <w:r w:rsidRPr="00E9041A">
              <w:rPr>
                <w:sz w:val="22"/>
                <w:szCs w:val="22"/>
                <w:lang w:val="bg-BG" w:eastAsia="bg-BG"/>
              </w:rPr>
              <w:t>, така  предложена в проекта е ок.</w:t>
            </w:r>
          </w:p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E9041A">
              <w:rPr>
                <w:sz w:val="22"/>
                <w:szCs w:val="22"/>
                <w:lang w:val="bg-BG" w:eastAsia="bg-BG"/>
              </w:rPr>
              <w:t>Но при</w:t>
            </w:r>
          </w:p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E9041A">
              <w:rPr>
                <w:sz w:val="22"/>
                <w:szCs w:val="22"/>
                <w:lang w:val="bg-BG" w:eastAsia="bg-BG"/>
              </w:rPr>
              <w:t>•</w:t>
            </w:r>
            <w:r w:rsidRPr="00E9041A">
              <w:rPr>
                <w:sz w:val="22"/>
                <w:szCs w:val="22"/>
                <w:lang w:val="bg-BG" w:eastAsia="bg-BG"/>
              </w:rPr>
              <w:tab/>
              <w:t xml:space="preserve">оборното (интензивно) отглеждане – трябва да има </w:t>
            </w:r>
            <w:proofErr w:type="spellStart"/>
            <w:r w:rsidRPr="00E9041A">
              <w:rPr>
                <w:sz w:val="22"/>
                <w:szCs w:val="22"/>
                <w:lang w:val="bg-BG" w:eastAsia="bg-BG"/>
              </w:rPr>
              <w:t>еко</w:t>
            </w:r>
            <w:proofErr w:type="spellEnd"/>
            <w:r w:rsidRPr="00E9041A">
              <w:rPr>
                <w:sz w:val="22"/>
                <w:szCs w:val="22"/>
                <w:lang w:val="bg-BG" w:eastAsia="bg-BG"/>
              </w:rPr>
              <w:t xml:space="preserve"> схема отговаряща и на тази технология за отглеждане на животни.</w:t>
            </w:r>
          </w:p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</w:p>
          <w:p w:rsidR="00CF3060" w:rsidRPr="00CC1D5C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t xml:space="preserve">Предложения за </w:t>
            </w:r>
            <w:proofErr w:type="spellStart"/>
            <w:r w:rsidRPr="00CC1D5C">
              <w:rPr>
                <w:sz w:val="22"/>
                <w:szCs w:val="22"/>
                <w:lang w:val="bg-BG" w:eastAsia="bg-BG"/>
              </w:rPr>
              <w:t>екосхеми</w:t>
            </w:r>
            <w:proofErr w:type="spellEnd"/>
            <w:r w:rsidRPr="00CC1D5C">
              <w:rPr>
                <w:sz w:val="22"/>
                <w:szCs w:val="22"/>
                <w:lang w:val="bg-BG" w:eastAsia="bg-BG"/>
              </w:rPr>
              <w:t>, с кумулативен ефект:</w:t>
            </w:r>
          </w:p>
          <w:p w:rsidR="00CF3060" w:rsidRPr="00CC1D5C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t>-</w:t>
            </w:r>
            <w:r w:rsidRPr="00CC1D5C">
              <w:rPr>
                <w:sz w:val="22"/>
                <w:szCs w:val="22"/>
                <w:lang w:val="bg-BG" w:eastAsia="bg-BG"/>
              </w:rPr>
              <w:tab/>
              <w:t xml:space="preserve">Екстензивна </w:t>
            </w:r>
            <w:proofErr w:type="spellStart"/>
            <w:r w:rsidRPr="00CC1D5C">
              <w:rPr>
                <w:sz w:val="22"/>
                <w:szCs w:val="22"/>
                <w:lang w:val="bg-BG" w:eastAsia="bg-BG"/>
              </w:rPr>
              <w:t>паша</w:t>
            </w:r>
            <w:proofErr w:type="spellEnd"/>
          </w:p>
          <w:p w:rsidR="00CF3060" w:rsidRPr="00CC1D5C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t>-</w:t>
            </w:r>
            <w:r w:rsidRPr="00CC1D5C">
              <w:rPr>
                <w:sz w:val="22"/>
                <w:szCs w:val="22"/>
                <w:lang w:val="bg-BG" w:eastAsia="bg-BG"/>
              </w:rPr>
              <w:tab/>
              <w:t xml:space="preserve">Съхранение на фуражите – </w:t>
            </w:r>
            <w:proofErr w:type="spellStart"/>
            <w:r w:rsidRPr="00CC1D5C">
              <w:rPr>
                <w:sz w:val="22"/>
                <w:szCs w:val="22"/>
                <w:lang w:val="bg-BG" w:eastAsia="bg-BG"/>
              </w:rPr>
              <w:t>антимикробни</w:t>
            </w:r>
            <w:proofErr w:type="spellEnd"/>
            <w:r w:rsidRPr="00CC1D5C">
              <w:rPr>
                <w:sz w:val="22"/>
                <w:szCs w:val="22"/>
                <w:lang w:val="bg-BG" w:eastAsia="bg-BG"/>
              </w:rPr>
              <w:t xml:space="preserve"> фуражи</w:t>
            </w:r>
          </w:p>
          <w:p w:rsidR="00CF3060" w:rsidRPr="00CC1D5C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lastRenderedPageBreak/>
              <w:t>-</w:t>
            </w:r>
            <w:r w:rsidRPr="00CC1D5C">
              <w:rPr>
                <w:sz w:val="22"/>
                <w:szCs w:val="22"/>
                <w:lang w:val="bg-BG" w:eastAsia="bg-BG"/>
              </w:rPr>
              <w:tab/>
              <w:t>Използване на алтернативни източници на енергии  - напр. соларни батерии;</w:t>
            </w:r>
          </w:p>
          <w:p w:rsidR="00CF3060" w:rsidRPr="00CC1D5C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t>-</w:t>
            </w:r>
            <w:r w:rsidRPr="00CC1D5C">
              <w:rPr>
                <w:sz w:val="22"/>
                <w:szCs w:val="22"/>
                <w:lang w:val="bg-BG" w:eastAsia="bg-BG"/>
              </w:rPr>
              <w:tab/>
              <w:t xml:space="preserve">Наторяване и </w:t>
            </w:r>
            <w:proofErr w:type="spellStart"/>
            <w:r w:rsidRPr="00CC1D5C">
              <w:rPr>
                <w:sz w:val="22"/>
                <w:szCs w:val="22"/>
                <w:lang w:val="bg-BG" w:eastAsia="bg-BG"/>
              </w:rPr>
              <w:t>управлвниве</w:t>
            </w:r>
            <w:proofErr w:type="spellEnd"/>
            <w:r w:rsidRPr="00CC1D5C">
              <w:rPr>
                <w:sz w:val="22"/>
                <w:szCs w:val="22"/>
                <w:lang w:val="bg-BG" w:eastAsia="bg-BG"/>
              </w:rPr>
              <w:t xml:space="preserve"> на тора;</w:t>
            </w:r>
          </w:p>
          <w:p w:rsidR="00CF3060" w:rsidRPr="00CC1D5C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t>-</w:t>
            </w:r>
            <w:r w:rsidRPr="00CC1D5C">
              <w:rPr>
                <w:sz w:val="22"/>
                <w:szCs w:val="22"/>
                <w:lang w:val="bg-BG" w:eastAsia="bg-BG"/>
              </w:rPr>
              <w:tab/>
              <w:t xml:space="preserve">Енергийна ефективност за оборното отглеждане; </w:t>
            </w:r>
          </w:p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  <w:r w:rsidRPr="00CC1D5C">
              <w:rPr>
                <w:sz w:val="22"/>
                <w:szCs w:val="22"/>
                <w:lang w:val="bg-BG" w:eastAsia="bg-BG"/>
              </w:rPr>
              <w:t>-</w:t>
            </w:r>
            <w:r w:rsidRPr="00CC1D5C">
              <w:rPr>
                <w:sz w:val="22"/>
                <w:szCs w:val="22"/>
                <w:lang w:val="bg-BG" w:eastAsia="bg-BG"/>
              </w:rPr>
              <w:tab/>
            </w:r>
            <w:proofErr w:type="spellStart"/>
            <w:r w:rsidRPr="00CC1D5C">
              <w:rPr>
                <w:sz w:val="22"/>
                <w:szCs w:val="22"/>
                <w:lang w:val="bg-BG" w:eastAsia="bg-BG"/>
              </w:rPr>
              <w:t>Нискоемисионни</w:t>
            </w:r>
            <w:proofErr w:type="spellEnd"/>
            <w:r w:rsidRPr="00CC1D5C">
              <w:rPr>
                <w:sz w:val="22"/>
                <w:szCs w:val="22"/>
                <w:lang w:val="bg-BG" w:eastAsia="bg-BG"/>
              </w:rPr>
              <w:t xml:space="preserve"> системи за сградите за отглеждане на животни – напр. добавяне на по-голямо количество слама за постеля за едно животно.</w:t>
            </w:r>
          </w:p>
          <w:p w:rsidR="00CF3060" w:rsidRPr="00E9041A" w:rsidRDefault="00CF3060" w:rsidP="00CF3060">
            <w:pPr>
              <w:pStyle w:val="BodyText"/>
              <w:rPr>
                <w:sz w:val="22"/>
                <w:szCs w:val="22"/>
                <w:lang w:val="bg-BG" w:eastAsia="bg-BG"/>
              </w:rPr>
            </w:pPr>
          </w:p>
          <w:p w:rsidR="001B04CC" w:rsidRPr="00E9041A" w:rsidRDefault="00CF3060" w:rsidP="00CF306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 w:cs="Times New Roman"/>
                <w:b/>
              </w:rPr>
            </w:pPr>
            <w:r w:rsidRPr="00E9041A">
              <w:rPr>
                <w:rFonts w:ascii="Times New Roman" w:hAnsi="Times New Roman" w:cs="Times New Roman"/>
                <w:lang w:eastAsia="bg-BG"/>
              </w:rPr>
              <w:t>2.</w:t>
            </w:r>
            <w:r w:rsidRPr="00E9041A">
              <w:rPr>
                <w:rFonts w:ascii="Times New Roman" w:hAnsi="Times New Roman" w:cs="Times New Roman"/>
                <w:lang w:eastAsia="bg-BG"/>
              </w:rPr>
              <w:tab/>
              <w:t>ПЗП заявявани по ДП с код 316000, как ще покриват завишената условност?</w:t>
            </w:r>
          </w:p>
        </w:tc>
        <w:tc>
          <w:tcPr>
            <w:tcW w:w="1275" w:type="dxa"/>
            <w:shd w:val="clear" w:color="auto" w:fill="FFFFFF" w:themeFill="background1"/>
          </w:tcPr>
          <w:p w:rsidR="001B04CC" w:rsidRPr="00E9041A" w:rsidRDefault="00BB3D98" w:rsidP="00CC1D5C">
            <w:pPr>
              <w:rPr>
                <w:rFonts w:ascii="Times New Roman" w:hAnsi="Times New Roman" w:cs="Times New Roman"/>
                <w:b/>
              </w:rPr>
            </w:pPr>
            <w:r w:rsidRPr="00CC1D5C">
              <w:rPr>
                <w:rFonts w:ascii="Times New Roman" w:hAnsi="Times New Roman" w:cs="Times New Roman"/>
                <w:b/>
              </w:rPr>
              <w:lastRenderedPageBreak/>
              <w:t>Приема се частично</w:t>
            </w:r>
          </w:p>
        </w:tc>
        <w:tc>
          <w:tcPr>
            <w:tcW w:w="4560" w:type="dxa"/>
            <w:shd w:val="clear" w:color="auto" w:fill="FFFFFF" w:themeFill="background1"/>
          </w:tcPr>
          <w:p w:rsidR="001B04CC" w:rsidRDefault="00BB3D98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</w:rPr>
            </w:pPr>
            <w:r w:rsidRPr="00BB3D98">
              <w:rPr>
                <w:rFonts w:ascii="Times New Roman" w:hAnsi="Times New Roman" w:cs="Times New Roman"/>
                <w:bCs/>
              </w:rPr>
              <w:t xml:space="preserve">По отношение на постоянно затревените площи </w:t>
            </w:r>
            <w:r>
              <w:rPr>
                <w:rFonts w:ascii="Times New Roman" w:hAnsi="Times New Roman" w:cs="Times New Roman"/>
                <w:bCs/>
              </w:rPr>
              <w:t xml:space="preserve">(ПЗП) </w:t>
            </w:r>
            <w:r w:rsidRPr="00BB3D98">
              <w:rPr>
                <w:rFonts w:ascii="Times New Roman" w:hAnsi="Times New Roman" w:cs="Times New Roman"/>
                <w:bCs/>
              </w:rPr>
              <w:t>е предвидена земеделска практика за поддържане на екстензивно животновъдство. Практиката предвижда подходящ режим на управление на пасищата с подходяща гъстота на животинските единици в размер от 0.3 ЖЕ/ха до 1 ЖЕ/ха.</w:t>
            </w:r>
          </w:p>
          <w:p w:rsidR="00BB3D98" w:rsidRPr="00CC1D5C" w:rsidRDefault="00BB3D98" w:rsidP="00CC1D5C">
            <w:pPr>
              <w:spacing w:before="120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При предложените земеделски практики като част от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еко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схемта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поддържането на ПЗП е само посредством екстензивна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паша</w:t>
            </w:r>
            <w:proofErr w:type="spellEnd"/>
            <w:r>
              <w:rPr>
                <w:rFonts w:ascii="Times New Roman" w:hAnsi="Times New Roman" w:cs="Times New Roman"/>
                <w:bCs/>
              </w:rPr>
              <w:t>.</w:t>
            </w:r>
            <w:r w:rsidRPr="00E9041A">
              <w:rPr>
                <w:rFonts w:ascii="Times New Roman" w:hAnsi="Times New Roman" w:cs="Times New Roman"/>
                <w:lang w:eastAsia="bg-BG"/>
              </w:rPr>
              <w:t xml:space="preserve"> </w:t>
            </w:r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t xml:space="preserve">ПЗП </w:t>
            </w:r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lastRenderedPageBreak/>
              <w:t>заявявани по ДП с код 316000 биха били допустими за базово директно плащане ако изпълняват условията за допустимост за ДП (</w:t>
            </w:r>
            <w:r w:rsidR="001902A3">
              <w:rPr>
                <w:rFonts w:ascii="Times New Roman" w:hAnsi="Times New Roman" w:cs="Times New Roman"/>
                <w:color w:val="000000" w:themeColor="text1"/>
                <w:lang w:eastAsia="bg-BG"/>
              </w:rPr>
              <w:t xml:space="preserve">те </w:t>
            </w:r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t xml:space="preserve">изпълняват условността за поддържане на ПЗП), но не биха били обект на </w:t>
            </w:r>
            <w:proofErr w:type="spellStart"/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t>еко</w:t>
            </w:r>
            <w:proofErr w:type="spellEnd"/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t xml:space="preserve"> схемата, ако няма </w:t>
            </w:r>
            <w:proofErr w:type="spellStart"/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t>пашуващи</w:t>
            </w:r>
            <w:proofErr w:type="spellEnd"/>
            <w:r w:rsidRPr="00CC1D5C">
              <w:rPr>
                <w:rFonts w:ascii="Times New Roman" w:hAnsi="Times New Roman" w:cs="Times New Roman"/>
                <w:color w:val="000000" w:themeColor="text1"/>
                <w:lang w:eastAsia="bg-BG"/>
              </w:rPr>
              <w:t xml:space="preserve"> животни.</w:t>
            </w:r>
            <w:r w:rsidRPr="00CC1D5C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 </w:t>
            </w:r>
          </w:p>
          <w:p w:rsidR="00BB3D98" w:rsidRPr="007D3886" w:rsidRDefault="00BB3D98" w:rsidP="00BB3D98">
            <w:pPr>
              <w:jc w:val="both"/>
              <w:rPr>
                <w:rFonts w:ascii="Times New Roman" w:hAnsi="Times New Roman" w:cs="Times New Roman"/>
                <w:bCs/>
                <w:highlight w:val="yellow"/>
              </w:rPr>
            </w:pPr>
          </w:p>
          <w:p w:rsidR="00BB3D98" w:rsidRPr="00BB3D98" w:rsidRDefault="00BB3D98" w:rsidP="00BB3D98">
            <w:pPr>
              <w:jc w:val="both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</w:p>
        </w:tc>
      </w:tr>
      <w:tr w:rsidR="001B04CC" w:rsidRPr="00E9041A" w:rsidTr="001B04CC">
        <w:tc>
          <w:tcPr>
            <w:tcW w:w="14884" w:type="dxa"/>
            <w:gridSpan w:val="4"/>
            <w:shd w:val="clear" w:color="auto" w:fill="C6D9F1" w:themeFill="text2" w:themeFillTint="33"/>
            <w:vAlign w:val="center"/>
          </w:tcPr>
          <w:p w:rsidR="001B04CC" w:rsidRPr="00E9041A" w:rsidRDefault="001B04CC" w:rsidP="001B04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1B04CC" w:rsidRPr="00E9041A" w:rsidRDefault="001B04CC">
      <w:pPr>
        <w:rPr>
          <w:rFonts w:ascii="Times New Roman" w:hAnsi="Times New Roman" w:cs="Times New Roman"/>
          <w:lang w:val="en-US"/>
        </w:rPr>
      </w:pPr>
    </w:p>
    <w:sectPr w:rsidR="001B04CC" w:rsidRPr="00E9041A" w:rsidSect="001B04C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E2315"/>
    <w:multiLevelType w:val="hybridMultilevel"/>
    <w:tmpl w:val="A962C3F2"/>
    <w:lvl w:ilvl="0" w:tplc="B85C298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0D4385"/>
    <w:multiLevelType w:val="hybridMultilevel"/>
    <w:tmpl w:val="0972D356"/>
    <w:lvl w:ilvl="0" w:tplc="44B2DF74">
      <w:start w:val="1"/>
      <w:numFmt w:val="decimal"/>
      <w:lvlText w:val="%1."/>
      <w:lvlJc w:val="left"/>
      <w:pPr>
        <w:ind w:left="142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247547EA"/>
    <w:multiLevelType w:val="hybridMultilevel"/>
    <w:tmpl w:val="3442153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0A501F"/>
    <w:multiLevelType w:val="hybridMultilevel"/>
    <w:tmpl w:val="DCCE8F5C"/>
    <w:lvl w:ilvl="0" w:tplc="040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E340F22"/>
    <w:multiLevelType w:val="hybridMultilevel"/>
    <w:tmpl w:val="C1B0046A"/>
    <w:lvl w:ilvl="0" w:tplc="DA8013F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4A8C1714"/>
    <w:multiLevelType w:val="hybridMultilevel"/>
    <w:tmpl w:val="108C3AA4"/>
    <w:lvl w:ilvl="0" w:tplc="8DA42F2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4C371C4A"/>
    <w:multiLevelType w:val="hybridMultilevel"/>
    <w:tmpl w:val="36A850D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7767"/>
    <w:rsid w:val="00077664"/>
    <w:rsid w:val="000A21F5"/>
    <w:rsid w:val="001656A7"/>
    <w:rsid w:val="00170C48"/>
    <w:rsid w:val="001902A3"/>
    <w:rsid w:val="001B04CC"/>
    <w:rsid w:val="001E7E0E"/>
    <w:rsid w:val="00216FF2"/>
    <w:rsid w:val="00317630"/>
    <w:rsid w:val="003A7D31"/>
    <w:rsid w:val="00457A7D"/>
    <w:rsid w:val="004924F3"/>
    <w:rsid w:val="004C30B1"/>
    <w:rsid w:val="007326F0"/>
    <w:rsid w:val="007D3886"/>
    <w:rsid w:val="00857767"/>
    <w:rsid w:val="008677EF"/>
    <w:rsid w:val="00924DBF"/>
    <w:rsid w:val="00BB3D98"/>
    <w:rsid w:val="00C6097B"/>
    <w:rsid w:val="00C71A66"/>
    <w:rsid w:val="00CC020A"/>
    <w:rsid w:val="00CC1D5C"/>
    <w:rsid w:val="00CF3060"/>
    <w:rsid w:val="00E90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B04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aliases w:val="block style,Body,by, Знак Знак Знак, Знак Знак,Знак Знак Знак,Знак Знак"/>
    <w:basedOn w:val="Normal"/>
    <w:link w:val="BodyTextChar"/>
    <w:qFormat/>
    <w:rsid w:val="00CF306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BodyTextChar">
    <w:name w:val="Body Text Char"/>
    <w:aliases w:val="block style Char,Body Char,by Char, Знак Знак Знак Char, Знак Знак Char,Знак Знак Знак Char,Знак Знак Char"/>
    <w:basedOn w:val="DefaultParagraphFont"/>
    <w:link w:val="BodyText"/>
    <w:rsid w:val="00CF3060"/>
    <w:rPr>
      <w:rFonts w:ascii="Times New Roman" w:eastAsia="Times New Roman" w:hAnsi="Times New Roman" w:cs="Times New Roman"/>
      <w:sz w:val="23"/>
      <w:szCs w:val="23"/>
      <w:lang w:val="en-US"/>
    </w:rPr>
  </w:style>
  <w:style w:type="paragraph" w:customStyle="1" w:styleId="CM1">
    <w:name w:val="CM1"/>
    <w:basedOn w:val="Normal"/>
    <w:next w:val="Normal"/>
    <w:uiPriority w:val="99"/>
    <w:rsid w:val="00E9041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CM3">
    <w:name w:val="CM3"/>
    <w:basedOn w:val="Normal"/>
    <w:next w:val="Normal"/>
    <w:uiPriority w:val="99"/>
    <w:rsid w:val="00E9041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E7E0E"/>
    <w:pPr>
      <w:ind w:left="720"/>
      <w:contextualSpacing/>
    </w:pPr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B04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aliases w:val="block style,Body,by, Знак Знак Знак, Знак Знак,Знак Знак Знак,Знак Знак"/>
    <w:basedOn w:val="Normal"/>
    <w:link w:val="BodyTextChar"/>
    <w:qFormat/>
    <w:rsid w:val="00CF306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BodyTextChar">
    <w:name w:val="Body Text Char"/>
    <w:aliases w:val="block style Char,Body Char,by Char, Знак Знак Знак Char, Знак Знак Char,Знак Знак Знак Char,Знак Знак Char"/>
    <w:basedOn w:val="DefaultParagraphFont"/>
    <w:link w:val="BodyText"/>
    <w:rsid w:val="00CF3060"/>
    <w:rPr>
      <w:rFonts w:ascii="Times New Roman" w:eastAsia="Times New Roman" w:hAnsi="Times New Roman" w:cs="Times New Roman"/>
      <w:sz w:val="23"/>
      <w:szCs w:val="23"/>
      <w:lang w:val="en-US"/>
    </w:rPr>
  </w:style>
  <w:style w:type="paragraph" w:customStyle="1" w:styleId="CM1">
    <w:name w:val="CM1"/>
    <w:basedOn w:val="Normal"/>
    <w:next w:val="Normal"/>
    <w:uiPriority w:val="99"/>
    <w:rsid w:val="00E9041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CM3">
    <w:name w:val="CM3"/>
    <w:basedOn w:val="Normal"/>
    <w:next w:val="Normal"/>
    <w:uiPriority w:val="99"/>
    <w:rsid w:val="00E9041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E7E0E"/>
    <w:pPr>
      <w:ind w:left="720"/>
      <w:contextualSpacing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Word_Document1.docx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hyperlink" Target="http://landforlife.org/download/pages/3/Doklad_Merki_Pasishta_web.pdf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package" Target="embeddings/Microsoft_Word_Document2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47DB2F-4E7A-4212-BA0E-474EC0EA0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4688</Words>
  <Characters>26726</Characters>
  <Application>Microsoft Office Word</Application>
  <DocSecurity>0</DocSecurity>
  <Lines>222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2021-02-03T13:10:00Z</dcterms:created>
  <dcterms:modified xsi:type="dcterms:W3CDTF">2021-02-03T13:10:00Z</dcterms:modified>
</cp:coreProperties>
</file>